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73D3B" w14:textId="77777777" w:rsidR="00B17324" w:rsidRDefault="0020529F">
      <w:pPr>
        <w:rPr>
          <w:sz w:val="36"/>
          <w:lang w:val="en-AU"/>
        </w:rPr>
      </w:pPr>
      <w:r w:rsidRPr="0020529F">
        <w:rPr>
          <w:sz w:val="36"/>
          <w:lang w:val="en-AU"/>
        </w:rPr>
        <w:t>Table for CLiq parameters</w:t>
      </w:r>
    </w:p>
    <w:p w14:paraId="59B4F8EB" w14:textId="77777777" w:rsidR="0020529F" w:rsidRDefault="0020529F">
      <w:pPr>
        <w:rPr>
          <w:sz w:val="36"/>
          <w:lang w:val="en-AU"/>
        </w:rPr>
      </w:pPr>
    </w:p>
    <w:tbl>
      <w:tblPr>
        <w:tblStyle w:val="TableGrid"/>
        <w:tblW w:w="0" w:type="auto"/>
        <w:tblLook w:val="04A0" w:firstRow="1" w:lastRow="0" w:firstColumn="1" w:lastColumn="0" w:noHBand="0" w:noVBand="1"/>
      </w:tblPr>
      <w:tblGrid>
        <w:gridCol w:w="1980"/>
        <w:gridCol w:w="1905"/>
        <w:gridCol w:w="5125"/>
      </w:tblGrid>
      <w:tr w:rsidR="00880E65" w14:paraId="48E73D6C" w14:textId="77777777" w:rsidTr="00880E65">
        <w:tc>
          <w:tcPr>
            <w:tcW w:w="1980" w:type="dxa"/>
          </w:tcPr>
          <w:p w14:paraId="1DD3C7C7" w14:textId="7F453B4D" w:rsidR="00D6099D" w:rsidRPr="00880E65" w:rsidRDefault="00D6099D">
            <w:pPr>
              <w:rPr>
                <w:b/>
                <w:color w:val="000000" w:themeColor="text1"/>
                <w:sz w:val="32"/>
                <w:lang w:val="en-AU"/>
              </w:rPr>
            </w:pPr>
            <w:r w:rsidRPr="00880E65">
              <w:rPr>
                <w:b/>
                <w:color w:val="000000" w:themeColor="text1"/>
                <w:sz w:val="32"/>
                <w:lang w:val="en-AU"/>
              </w:rPr>
              <w:t>Parameters</w:t>
            </w:r>
          </w:p>
        </w:tc>
        <w:tc>
          <w:tcPr>
            <w:tcW w:w="1905" w:type="dxa"/>
          </w:tcPr>
          <w:p w14:paraId="60A3E778" w14:textId="52804434" w:rsidR="00D6099D" w:rsidRPr="00880E65" w:rsidRDefault="00880E65">
            <w:pPr>
              <w:rPr>
                <w:b/>
                <w:color w:val="000000" w:themeColor="text1"/>
                <w:sz w:val="32"/>
                <w:lang w:val="en-AU"/>
              </w:rPr>
            </w:pPr>
            <w:r w:rsidRPr="00880E65">
              <w:rPr>
                <w:b/>
                <w:color w:val="000000" w:themeColor="text1"/>
                <w:sz w:val="32"/>
                <w:lang w:val="en-AU"/>
              </w:rPr>
              <w:t>Value/type</w:t>
            </w:r>
          </w:p>
        </w:tc>
        <w:tc>
          <w:tcPr>
            <w:tcW w:w="5125" w:type="dxa"/>
          </w:tcPr>
          <w:p w14:paraId="0AF3E00E" w14:textId="284F8F0E" w:rsidR="00D6099D" w:rsidRPr="00880E65" w:rsidRDefault="00D6099D">
            <w:pPr>
              <w:rPr>
                <w:b/>
                <w:color w:val="000000" w:themeColor="text1"/>
                <w:sz w:val="32"/>
                <w:lang w:val="en-AU"/>
              </w:rPr>
            </w:pPr>
            <w:r w:rsidRPr="00880E65">
              <w:rPr>
                <w:b/>
                <w:color w:val="000000" w:themeColor="text1"/>
                <w:sz w:val="32"/>
                <w:lang w:val="en-AU"/>
              </w:rPr>
              <w:t>Reason</w:t>
            </w:r>
          </w:p>
        </w:tc>
      </w:tr>
      <w:tr w:rsidR="00880E65" w14:paraId="555AEA49" w14:textId="77777777" w:rsidTr="00880E65">
        <w:tc>
          <w:tcPr>
            <w:tcW w:w="1980" w:type="dxa"/>
          </w:tcPr>
          <w:p w14:paraId="6A2C24E2" w14:textId="7C69CDF0" w:rsidR="00D6099D" w:rsidRPr="00880E65" w:rsidRDefault="00880E65">
            <w:pPr>
              <w:rPr>
                <w:lang w:val="en-AU"/>
              </w:rPr>
            </w:pPr>
            <w:r w:rsidRPr="00880E65">
              <w:rPr>
                <w:lang w:val="en-AU"/>
              </w:rPr>
              <w:t>Calculation method</w:t>
            </w:r>
          </w:p>
        </w:tc>
        <w:tc>
          <w:tcPr>
            <w:tcW w:w="1905" w:type="dxa"/>
          </w:tcPr>
          <w:p w14:paraId="3A8FEB56" w14:textId="1E6A8CFF" w:rsidR="00D6099D" w:rsidRPr="00F864DD" w:rsidRDefault="00F864DD">
            <w:pPr>
              <w:rPr>
                <w:lang w:val="en-AU"/>
              </w:rPr>
            </w:pPr>
            <w:r>
              <w:rPr>
                <w:lang w:val="en-AU"/>
              </w:rPr>
              <w:t>Robertson and Wride (</w:t>
            </w:r>
            <w:r>
              <w:t>NCEER 1998, 2009)</w:t>
            </w:r>
          </w:p>
        </w:tc>
        <w:tc>
          <w:tcPr>
            <w:tcW w:w="5125" w:type="dxa"/>
          </w:tcPr>
          <w:p w14:paraId="3E441809" w14:textId="3D126A43" w:rsidR="00D6099D" w:rsidRPr="00F864DD" w:rsidRDefault="00F864DD">
            <w:pPr>
              <w:rPr>
                <w:lang w:val="en-AU"/>
              </w:rPr>
            </w:pPr>
            <w:r>
              <w:rPr>
                <w:lang w:val="en-AU"/>
              </w:rPr>
              <w:t xml:space="preserve">This is prevalent within the literature as a common calculation method for liquefaction potential. </w:t>
            </w:r>
          </w:p>
        </w:tc>
      </w:tr>
      <w:tr w:rsidR="00880E65" w14:paraId="2CBD4380" w14:textId="77777777" w:rsidTr="00880E65">
        <w:tc>
          <w:tcPr>
            <w:tcW w:w="1980" w:type="dxa"/>
          </w:tcPr>
          <w:p w14:paraId="1BDAC445" w14:textId="1FEB3087" w:rsidR="00D6099D" w:rsidRPr="00880E65" w:rsidRDefault="00880E65">
            <w:pPr>
              <w:rPr>
                <w:lang w:val="en-AU"/>
              </w:rPr>
            </w:pPr>
            <w:r w:rsidRPr="00880E65">
              <w:rPr>
                <w:lang w:val="en-AU"/>
              </w:rPr>
              <w:t xml:space="preserve">Peak Ground Acceleration (PGA) </w:t>
            </w:r>
          </w:p>
        </w:tc>
        <w:tc>
          <w:tcPr>
            <w:tcW w:w="1905" w:type="dxa"/>
          </w:tcPr>
          <w:p w14:paraId="32A84510" w14:textId="365360D8" w:rsidR="00D6099D" w:rsidRPr="00F864DD" w:rsidRDefault="00DB4A5C">
            <w:pPr>
              <w:rPr>
                <w:lang w:val="en-AU"/>
              </w:rPr>
            </w:pPr>
            <w:r>
              <w:rPr>
                <w:lang w:val="en-AU"/>
              </w:rPr>
              <w:t>0.38 g</w:t>
            </w:r>
            <w:bookmarkStart w:id="0" w:name="_GoBack"/>
            <w:bookmarkEnd w:id="0"/>
          </w:p>
        </w:tc>
        <w:tc>
          <w:tcPr>
            <w:tcW w:w="5125" w:type="dxa"/>
          </w:tcPr>
          <w:p w14:paraId="4E5063FC" w14:textId="77777777" w:rsidR="00D6099D" w:rsidRDefault="00935C5C" w:rsidP="001871D9">
            <w:pPr>
              <w:rPr>
                <w:lang w:val="en-AU"/>
              </w:rPr>
            </w:pPr>
            <w:r>
              <w:rPr>
                <w:lang w:val="en-AU"/>
              </w:rPr>
              <w:t>Based on NZ Transport Agency’s Bridge manual</w:t>
            </w:r>
            <w:r w:rsidR="001871D9">
              <w:rPr>
                <w:lang w:val="en-AU"/>
              </w:rPr>
              <w:t>,</w:t>
            </w:r>
          </w:p>
          <w:p w14:paraId="7C6E40EA" w14:textId="3121613C" w:rsidR="001871D9" w:rsidRPr="00F864DD" w:rsidRDefault="001871D9" w:rsidP="001871D9">
            <w:pPr>
              <w:rPr>
                <w:lang w:val="en-AU"/>
              </w:rPr>
            </w:pPr>
            <w:r>
              <w:rPr>
                <w:lang w:val="en-AU"/>
              </w:rPr>
              <w:t>Geotechnical earthquake engineering practise and NZS1170.5:2004 Structural design standard.</w:t>
            </w:r>
          </w:p>
        </w:tc>
      </w:tr>
      <w:tr w:rsidR="00880E65" w14:paraId="675C20FF" w14:textId="77777777" w:rsidTr="003975C9">
        <w:trPr>
          <w:trHeight w:val="562"/>
        </w:trPr>
        <w:tc>
          <w:tcPr>
            <w:tcW w:w="1980" w:type="dxa"/>
          </w:tcPr>
          <w:p w14:paraId="73D34DF4" w14:textId="7D1887DF" w:rsidR="00D6099D" w:rsidRPr="00302075" w:rsidRDefault="00302075">
            <w:pPr>
              <w:rPr>
                <w:sz w:val="36"/>
                <w:lang w:val="en-AU"/>
              </w:rPr>
            </w:pPr>
            <w:r w:rsidRPr="00302075">
              <w:rPr>
                <w:lang w:val="en-AU"/>
              </w:rPr>
              <w:t>Earthquake magnitude</w:t>
            </w:r>
            <w:r>
              <w:rPr>
                <w:lang w:val="en-AU"/>
              </w:rPr>
              <w:t xml:space="preserve"> (M</w:t>
            </w:r>
            <w:r>
              <w:rPr>
                <w:i/>
                <w:lang w:val="en-AU"/>
              </w:rPr>
              <w:t>w</w:t>
            </w:r>
            <w:r>
              <w:rPr>
                <w:lang w:val="en-AU"/>
              </w:rPr>
              <w:t>)</w:t>
            </w:r>
          </w:p>
        </w:tc>
        <w:tc>
          <w:tcPr>
            <w:tcW w:w="1905" w:type="dxa"/>
          </w:tcPr>
          <w:p w14:paraId="0C627C49" w14:textId="70226986" w:rsidR="00D6099D" w:rsidRPr="00EA0900" w:rsidRDefault="00736B52">
            <w:pPr>
              <w:rPr>
                <w:lang w:val="en-AU"/>
              </w:rPr>
            </w:pPr>
            <w:r>
              <w:rPr>
                <w:lang w:val="en-AU"/>
              </w:rPr>
              <w:t xml:space="preserve">6- </w:t>
            </w:r>
            <w:r w:rsidR="00EA0900">
              <w:rPr>
                <w:lang w:val="en-AU"/>
              </w:rPr>
              <w:t>7 M</w:t>
            </w:r>
            <w:r w:rsidR="00EA0900">
              <w:rPr>
                <w:i/>
                <w:lang w:val="en-AU"/>
              </w:rPr>
              <w:t>w</w:t>
            </w:r>
          </w:p>
        </w:tc>
        <w:tc>
          <w:tcPr>
            <w:tcW w:w="5125" w:type="dxa"/>
          </w:tcPr>
          <w:p w14:paraId="3946ACB3" w14:textId="1F803FFD" w:rsidR="00D6099D" w:rsidRPr="00F864DD" w:rsidRDefault="00EA0900">
            <w:pPr>
              <w:rPr>
                <w:lang w:val="en-AU"/>
              </w:rPr>
            </w:pPr>
            <w:r>
              <w:rPr>
                <w:lang w:val="en-AU"/>
              </w:rPr>
              <w:t>Based on evidence from Kerepehi Fault research</w:t>
            </w:r>
          </w:p>
        </w:tc>
      </w:tr>
      <w:tr w:rsidR="00880E65" w14:paraId="39CAA832" w14:textId="77777777" w:rsidTr="00880E65">
        <w:tc>
          <w:tcPr>
            <w:tcW w:w="1980" w:type="dxa"/>
          </w:tcPr>
          <w:p w14:paraId="546ACBE6" w14:textId="03FC6F16" w:rsidR="00D6099D" w:rsidRPr="0018418D" w:rsidRDefault="0018418D">
            <w:pPr>
              <w:rPr>
                <w:lang w:val="en-AU"/>
              </w:rPr>
            </w:pPr>
            <w:r w:rsidRPr="0018418D">
              <w:rPr>
                <w:lang w:val="en-AU"/>
              </w:rPr>
              <w:t>Ground water level (m)</w:t>
            </w:r>
          </w:p>
        </w:tc>
        <w:tc>
          <w:tcPr>
            <w:tcW w:w="1905" w:type="dxa"/>
          </w:tcPr>
          <w:p w14:paraId="32B40D88" w14:textId="77777777" w:rsidR="008602FC" w:rsidRDefault="00D32463">
            <w:pPr>
              <w:rPr>
                <w:lang w:val="en-AU"/>
              </w:rPr>
            </w:pPr>
            <w:r>
              <w:rPr>
                <w:lang w:val="en-AU"/>
              </w:rPr>
              <w:t>2-4 m</w:t>
            </w:r>
            <w:r w:rsidR="00BF6CD9">
              <w:rPr>
                <w:lang w:val="en-AU"/>
              </w:rPr>
              <w:t xml:space="preserve"> </w:t>
            </w:r>
          </w:p>
          <w:p w14:paraId="201D1AA9" w14:textId="4077F1ED" w:rsidR="00D6099D" w:rsidRPr="00F864DD" w:rsidRDefault="00BF6CD9">
            <w:pPr>
              <w:rPr>
                <w:lang w:val="en-AU"/>
              </w:rPr>
            </w:pPr>
            <w:r>
              <w:rPr>
                <w:lang w:val="en-AU"/>
              </w:rPr>
              <w:t>We will put 1 m</w:t>
            </w:r>
          </w:p>
        </w:tc>
        <w:tc>
          <w:tcPr>
            <w:tcW w:w="5125" w:type="dxa"/>
          </w:tcPr>
          <w:p w14:paraId="179492A6" w14:textId="777F1C82" w:rsidR="00D6099D" w:rsidRPr="00F864DD" w:rsidRDefault="00D32463">
            <w:pPr>
              <w:rPr>
                <w:lang w:val="en-AU"/>
              </w:rPr>
            </w:pPr>
            <w:r>
              <w:rPr>
                <w:lang w:val="en-AU"/>
              </w:rPr>
              <w:t xml:space="preserve">Based </w:t>
            </w:r>
            <w:r w:rsidR="007F3E19">
              <w:rPr>
                <w:lang w:val="en-AU"/>
              </w:rPr>
              <w:t>on opus report for Waikat</w:t>
            </w:r>
            <w:r w:rsidR="00023B40">
              <w:rPr>
                <w:lang w:val="en-AU"/>
              </w:rPr>
              <w:t xml:space="preserve">o </w:t>
            </w:r>
            <w:r w:rsidR="007F3E19">
              <w:rPr>
                <w:lang w:val="en-AU"/>
              </w:rPr>
              <w:t>Expressway.</w:t>
            </w:r>
          </w:p>
        </w:tc>
      </w:tr>
      <w:tr w:rsidR="00880E65" w14:paraId="4A8F8745" w14:textId="77777777" w:rsidTr="00290602">
        <w:trPr>
          <w:trHeight w:val="324"/>
        </w:trPr>
        <w:tc>
          <w:tcPr>
            <w:tcW w:w="1980" w:type="dxa"/>
          </w:tcPr>
          <w:p w14:paraId="2EA3615A" w14:textId="063E54CB" w:rsidR="00D6099D" w:rsidRPr="0018418D" w:rsidRDefault="0018418D">
            <w:pPr>
              <w:rPr>
                <w:lang w:val="en-AU"/>
              </w:rPr>
            </w:pPr>
            <w:r>
              <w:rPr>
                <w:lang w:val="en-AU"/>
              </w:rPr>
              <w:t>Fines content</w:t>
            </w:r>
          </w:p>
        </w:tc>
        <w:tc>
          <w:tcPr>
            <w:tcW w:w="1905" w:type="dxa"/>
          </w:tcPr>
          <w:p w14:paraId="4CDA95B5" w14:textId="18A93F4A" w:rsidR="00D6099D" w:rsidRPr="00F864DD" w:rsidRDefault="00290602">
            <w:pPr>
              <w:rPr>
                <w:lang w:val="en-AU"/>
              </w:rPr>
            </w:pPr>
            <w:r>
              <w:rPr>
                <w:lang w:val="en-AU"/>
              </w:rPr>
              <w:t>Yes</w:t>
            </w:r>
          </w:p>
        </w:tc>
        <w:tc>
          <w:tcPr>
            <w:tcW w:w="5125" w:type="dxa"/>
          </w:tcPr>
          <w:p w14:paraId="78AE1CB0" w14:textId="2FEDC6D6" w:rsidR="00D6099D" w:rsidRPr="00F864DD" w:rsidRDefault="00290602">
            <w:pPr>
              <w:rPr>
                <w:lang w:val="en-AU"/>
              </w:rPr>
            </w:pPr>
            <w:r>
              <w:rPr>
                <w:lang w:val="en-AU"/>
              </w:rPr>
              <w:t xml:space="preserve">Included in analysis as when removed it tends to underestimate the degree of liquefaction. </w:t>
            </w:r>
          </w:p>
        </w:tc>
      </w:tr>
    </w:tbl>
    <w:p w14:paraId="6BB53562" w14:textId="77777777" w:rsidR="00D6099D" w:rsidRDefault="00D6099D">
      <w:pPr>
        <w:rPr>
          <w:sz w:val="36"/>
          <w:lang w:val="en-AU"/>
        </w:rPr>
      </w:pPr>
    </w:p>
    <w:p w14:paraId="5CF51FDD" w14:textId="049A1737" w:rsidR="00337009" w:rsidRDefault="00BF2577">
      <w:pPr>
        <w:rPr>
          <w:rFonts w:ascii="Helvetica" w:hAnsi="Helvetica" w:cs="Helvetica"/>
        </w:rPr>
      </w:pPr>
      <w:r w:rsidRPr="00DF2338">
        <w:rPr>
          <w:color w:val="C00000"/>
          <w:sz w:val="36"/>
          <w:lang w:val="en-AU"/>
        </w:rPr>
        <w:t>Water info from</w:t>
      </w:r>
      <w:r w:rsidR="00C432C2" w:rsidRPr="00DF2338">
        <w:rPr>
          <w:color w:val="C00000"/>
          <w:sz w:val="36"/>
          <w:lang w:val="en-AU"/>
        </w:rPr>
        <w:t>:</w:t>
      </w:r>
      <w:r w:rsidRPr="00DF2338">
        <w:rPr>
          <w:sz w:val="48"/>
          <w:lang w:val="en-AU"/>
        </w:rPr>
        <w:t xml:space="preserve"> </w:t>
      </w:r>
      <w:r>
        <w:rPr>
          <w:rFonts w:ascii="Helvetica" w:hAnsi="Helvetica" w:cs="Helvetica"/>
        </w:rPr>
        <w:t xml:space="preserve">Opus (2014). Ruakura Interchange, Assessment of Water Effects. </w:t>
      </w:r>
      <w:r>
        <w:rPr>
          <w:rFonts w:ascii="Helvetica" w:hAnsi="Helvetica" w:cs="Helvetica"/>
          <w:u w:val="single"/>
        </w:rPr>
        <w:t>Waikato Expressway: Hamilton Section</w:t>
      </w:r>
      <w:r>
        <w:rPr>
          <w:rFonts w:ascii="Helvetica" w:hAnsi="Helvetica" w:cs="Helvetica"/>
          <w:b/>
          <w:bCs/>
        </w:rPr>
        <w:t xml:space="preserve">: </w:t>
      </w:r>
      <w:r>
        <w:rPr>
          <w:rFonts w:ascii="Helvetica" w:hAnsi="Helvetica" w:cs="Helvetica"/>
        </w:rPr>
        <w:t>10.</w:t>
      </w:r>
    </w:p>
    <w:p w14:paraId="7E8D8E1D" w14:textId="35EEFD99" w:rsidR="00B74388" w:rsidRDefault="00B74388">
      <w:pPr>
        <w:rPr>
          <w:rFonts w:ascii="Helvetica" w:hAnsi="Helvetica" w:cs="Helvetica"/>
        </w:rPr>
      </w:pPr>
      <w:r>
        <w:rPr>
          <w:rFonts w:ascii="Helvetica" w:hAnsi="Helvetica" w:cs="Helvetica"/>
        </w:rPr>
        <w:t>And mels thesis</w:t>
      </w:r>
    </w:p>
    <w:p w14:paraId="2D68A45E" w14:textId="358D4B49" w:rsidR="00282F04" w:rsidRDefault="00282F04" w:rsidP="00282F04">
      <w:pPr>
        <w:rPr>
          <w:rFonts w:ascii="Helvetica" w:hAnsi="Helvetica" w:cs="Helvetica"/>
        </w:rPr>
      </w:pPr>
      <w:r>
        <w:rPr>
          <w:rFonts w:ascii="Helvetica" w:hAnsi="Helvetica" w:cs="Helvetica"/>
        </w:rPr>
        <w:t xml:space="preserve">When looking at the geotechnical database where the actual data was derived from and there were instances where the water level was in countered at 0.6 and 0.9 depths so under a meter. </w:t>
      </w:r>
    </w:p>
    <w:p w14:paraId="3CC20BF8" w14:textId="77777777" w:rsidR="00D77CBB" w:rsidRDefault="00D77CBB" w:rsidP="00E21AFF">
      <w:pPr>
        <w:widowControl w:val="0"/>
        <w:autoSpaceDE w:val="0"/>
        <w:autoSpaceDN w:val="0"/>
        <w:adjustRightInd w:val="0"/>
        <w:rPr>
          <w:rFonts w:ascii="Helvetica" w:hAnsi="Helvetica" w:cs="Helvetica"/>
        </w:rPr>
      </w:pPr>
    </w:p>
    <w:p w14:paraId="7C64687F" w14:textId="77777777" w:rsidR="00D23835" w:rsidRDefault="00D23835" w:rsidP="004C3AC1">
      <w:pPr>
        <w:widowControl w:val="0"/>
        <w:autoSpaceDE w:val="0"/>
        <w:autoSpaceDN w:val="0"/>
        <w:adjustRightInd w:val="0"/>
        <w:ind w:left="720" w:hanging="720"/>
        <w:rPr>
          <w:rFonts w:ascii="Helvetica" w:hAnsi="Helvetica" w:cs="Helvetica"/>
        </w:rPr>
      </w:pPr>
    </w:p>
    <w:p w14:paraId="0C94B5DF" w14:textId="77777777" w:rsidR="00307DCE" w:rsidRDefault="00C432C2" w:rsidP="00307DCE">
      <w:pPr>
        <w:rPr>
          <w:rFonts w:ascii="Times New Roman" w:eastAsia="Times New Roman" w:hAnsi="Times New Roman" w:cs="Times New Roman"/>
        </w:rPr>
      </w:pPr>
      <w:r w:rsidRPr="00DF2338">
        <w:rPr>
          <w:rFonts w:ascii="Helvetica" w:hAnsi="Helvetica" w:cs="Helvetica"/>
          <w:color w:val="C00000"/>
          <w:sz w:val="36"/>
        </w:rPr>
        <w:t>Magnitude from:</w:t>
      </w:r>
      <w:r w:rsidR="001871A0" w:rsidRPr="00DF2338">
        <w:rPr>
          <w:rFonts w:ascii="Helvetica" w:hAnsi="Helvetica" w:cs="Helvetica"/>
          <w:color w:val="C00000"/>
          <w:sz w:val="36"/>
        </w:rPr>
        <w:t xml:space="preserve"> </w:t>
      </w:r>
      <w:r w:rsidR="00307DCE" w:rsidRPr="00307DCE">
        <w:rPr>
          <w:rFonts w:ascii="Arial" w:eastAsia="Times New Roman" w:hAnsi="Arial" w:cs="Arial"/>
          <w:color w:val="222222"/>
          <w:sz w:val="20"/>
          <w:szCs w:val="20"/>
          <w:shd w:val="clear" w:color="auto" w:fill="F8F8F8"/>
        </w:rPr>
        <w:t>Persaud, M., Villamor, P., Berryman, K. R., Ries, W., Cousins, J., Litchfield, N., &amp; Alloway, B. V. (2016). The Kerepehi Fault, Hauraki Rift, North Island, New Zealand: active fault characterisation and hazard.</w:t>
      </w:r>
      <w:r w:rsidR="00307DCE" w:rsidRPr="00307DCE">
        <w:rPr>
          <w:rStyle w:val="apple-converted-space"/>
          <w:rFonts w:ascii="Arial" w:eastAsia="Times New Roman" w:hAnsi="Arial" w:cs="Arial"/>
          <w:color w:val="222222"/>
          <w:sz w:val="20"/>
          <w:szCs w:val="20"/>
          <w:shd w:val="clear" w:color="auto" w:fill="F8F8F8"/>
        </w:rPr>
        <w:t> </w:t>
      </w:r>
      <w:r w:rsidR="00307DCE" w:rsidRPr="00307DCE">
        <w:rPr>
          <w:rFonts w:ascii="Arial" w:eastAsia="Times New Roman" w:hAnsi="Arial" w:cs="Arial"/>
          <w:i/>
          <w:iCs/>
          <w:color w:val="222222"/>
          <w:sz w:val="20"/>
          <w:szCs w:val="20"/>
          <w:shd w:val="clear" w:color="auto" w:fill="F8F8F8"/>
        </w:rPr>
        <w:t>New Zealand Journal of Geology and Geophysics</w:t>
      </w:r>
      <w:r w:rsidR="00307DCE" w:rsidRPr="00307DCE">
        <w:rPr>
          <w:rFonts w:ascii="Arial" w:eastAsia="Times New Roman" w:hAnsi="Arial" w:cs="Arial"/>
          <w:color w:val="222222"/>
          <w:sz w:val="20"/>
          <w:szCs w:val="20"/>
          <w:shd w:val="clear" w:color="auto" w:fill="F8F8F8"/>
        </w:rPr>
        <w:t>,</w:t>
      </w:r>
      <w:r w:rsidR="00307DCE" w:rsidRPr="00307DCE">
        <w:rPr>
          <w:rStyle w:val="apple-converted-space"/>
          <w:rFonts w:ascii="Arial" w:eastAsia="Times New Roman" w:hAnsi="Arial" w:cs="Arial"/>
          <w:color w:val="222222"/>
          <w:sz w:val="20"/>
          <w:szCs w:val="20"/>
          <w:shd w:val="clear" w:color="auto" w:fill="F8F8F8"/>
        </w:rPr>
        <w:t> </w:t>
      </w:r>
      <w:r w:rsidR="00307DCE" w:rsidRPr="00307DCE">
        <w:rPr>
          <w:rFonts w:ascii="Arial" w:eastAsia="Times New Roman" w:hAnsi="Arial" w:cs="Arial"/>
          <w:i/>
          <w:iCs/>
          <w:color w:val="222222"/>
          <w:sz w:val="20"/>
          <w:szCs w:val="20"/>
          <w:shd w:val="clear" w:color="auto" w:fill="F8F8F8"/>
        </w:rPr>
        <w:t>59</w:t>
      </w:r>
      <w:r w:rsidR="00307DCE" w:rsidRPr="00307DCE">
        <w:rPr>
          <w:rFonts w:ascii="Arial" w:eastAsia="Times New Roman" w:hAnsi="Arial" w:cs="Arial"/>
          <w:color w:val="222222"/>
          <w:sz w:val="20"/>
          <w:szCs w:val="20"/>
          <w:shd w:val="clear" w:color="auto" w:fill="F8F8F8"/>
        </w:rPr>
        <w:t>(1), 117-135.</w:t>
      </w:r>
    </w:p>
    <w:p w14:paraId="578FB02C" w14:textId="1753C6E3" w:rsidR="004C3AC1" w:rsidRDefault="004C3AC1" w:rsidP="004C3AC1">
      <w:pPr>
        <w:widowControl w:val="0"/>
        <w:autoSpaceDE w:val="0"/>
        <w:autoSpaceDN w:val="0"/>
        <w:adjustRightInd w:val="0"/>
        <w:ind w:left="720" w:hanging="720"/>
        <w:rPr>
          <w:rFonts w:ascii="Helvetica" w:hAnsi="Helvetica" w:cs="Helvetica"/>
        </w:rPr>
      </w:pPr>
    </w:p>
    <w:p w14:paraId="226BB108" w14:textId="1BFF3C91" w:rsidR="00BF2577" w:rsidRDefault="00DB4A5C" w:rsidP="002B007B">
      <w:hyperlink r:id="rId5" w:history="1">
        <w:r w:rsidR="00D77CBB" w:rsidRPr="00235C47">
          <w:rPr>
            <w:rStyle w:val="Hyperlink"/>
          </w:rPr>
          <w:t>https://www.boprc.govt.nz/media/160681/earthquake_hazards_of_the_bay_of_plenty_region_-_update_to_1999.pdf</w:t>
        </w:r>
      </w:hyperlink>
      <w:r w:rsidR="00D77CBB">
        <w:t xml:space="preserve"> </w:t>
      </w:r>
    </w:p>
    <w:p w14:paraId="1BF90626" w14:textId="77777777" w:rsidR="002B007B" w:rsidRDefault="002B007B" w:rsidP="002B007B"/>
    <w:p w14:paraId="74373F2C" w14:textId="6052D877" w:rsidR="002B007B" w:rsidRDefault="002B007B" w:rsidP="002B007B">
      <w:r>
        <w:rPr>
          <w:noProof/>
          <w:lang w:val="en-NZ" w:eastAsia="zh-CN"/>
        </w:rPr>
        <w:drawing>
          <wp:inline distT="0" distB="0" distL="0" distR="0" wp14:anchorId="654725CB" wp14:editId="1AB5251F">
            <wp:extent cx="5727700" cy="754380"/>
            <wp:effectExtent l="0" t="0" r="1270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7-05-09 at 3.38.51 PM.png"/>
                    <pic:cNvPicPr/>
                  </pic:nvPicPr>
                  <pic:blipFill>
                    <a:blip r:embed="rId6">
                      <a:extLst>
                        <a:ext uri="{28A0092B-C50C-407E-A947-70E740481C1C}">
                          <a14:useLocalDpi xmlns:a14="http://schemas.microsoft.com/office/drawing/2010/main" val="0"/>
                        </a:ext>
                      </a:extLst>
                    </a:blip>
                    <a:stretch>
                      <a:fillRect/>
                    </a:stretch>
                  </pic:blipFill>
                  <pic:spPr>
                    <a:xfrm>
                      <a:off x="0" y="0"/>
                      <a:ext cx="5727700" cy="754380"/>
                    </a:xfrm>
                    <a:prstGeom prst="rect">
                      <a:avLst/>
                    </a:prstGeom>
                  </pic:spPr>
                </pic:pic>
              </a:graphicData>
            </a:graphic>
          </wp:inline>
        </w:drawing>
      </w:r>
    </w:p>
    <w:p w14:paraId="29C354D4" w14:textId="77777777" w:rsidR="00D77CBB" w:rsidRPr="00D77CBB" w:rsidRDefault="00D77CBB" w:rsidP="00D77CBB"/>
    <w:p w14:paraId="190B2229" w14:textId="77777777" w:rsidR="00D77CBB" w:rsidRDefault="00D77CBB" w:rsidP="00D77CBB"/>
    <w:p w14:paraId="5B2A4E78" w14:textId="77777777" w:rsidR="00D77CBB" w:rsidRDefault="00D77CBB" w:rsidP="00D77CBB"/>
    <w:p w14:paraId="011127B1" w14:textId="77777777" w:rsidR="00D77CBB" w:rsidRDefault="00D77CBB" w:rsidP="00D77CBB"/>
    <w:p w14:paraId="0A2C5977" w14:textId="77777777" w:rsidR="00D77CBB" w:rsidRDefault="00D77CBB" w:rsidP="00D77CBB"/>
    <w:p w14:paraId="6270EB7E" w14:textId="77777777" w:rsidR="00D77CBB" w:rsidRDefault="00D77CBB" w:rsidP="00D77CBB"/>
    <w:p w14:paraId="6645A656" w14:textId="77777777" w:rsidR="00D77CBB" w:rsidRPr="00D77CBB" w:rsidRDefault="00D77CBB" w:rsidP="00D77CBB">
      <w:r w:rsidRPr="00D77CBB">
        <w:rPr>
          <w:highlight w:val="yellow"/>
        </w:rPr>
        <w:t xml:space="preserve">Persaud, M., Villamor, P., Berryman, K. R., Ries, W., Cousins, J., Litchfield, N., &amp; Alloway, B. V. (2016). The Kerepehi Fault, Hauraki Rift, North Island, New Zealand: active fault </w:t>
      </w:r>
      <w:r w:rsidRPr="00D77CBB">
        <w:rPr>
          <w:highlight w:val="yellow"/>
        </w:rPr>
        <w:lastRenderedPageBreak/>
        <w:t>characterisation and hazard. New Zealand Journal of Geology and Geophysics, 59(1), 117-135.</w:t>
      </w:r>
    </w:p>
    <w:p w14:paraId="0581F609" w14:textId="77777777" w:rsidR="00D77CBB" w:rsidRPr="00D77CBB" w:rsidRDefault="00D77CBB" w:rsidP="00D77CBB"/>
    <w:p w14:paraId="459A0DCD" w14:textId="790539C5" w:rsidR="00D77CBB" w:rsidRPr="002B007B" w:rsidRDefault="00D77CBB" w:rsidP="002B007B">
      <w:r>
        <w:rPr>
          <w:noProof/>
          <w:lang w:val="en-NZ" w:eastAsia="zh-CN"/>
        </w:rPr>
        <w:drawing>
          <wp:inline distT="0" distB="0" distL="0" distR="0" wp14:anchorId="5886239D" wp14:editId="212437EB">
            <wp:extent cx="5727700" cy="2145665"/>
            <wp:effectExtent l="0" t="0" r="1270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7-05-09 at 3.58.13 PM.png"/>
                    <pic:cNvPicPr/>
                  </pic:nvPicPr>
                  <pic:blipFill>
                    <a:blip r:embed="rId7">
                      <a:extLst>
                        <a:ext uri="{28A0092B-C50C-407E-A947-70E740481C1C}">
                          <a14:useLocalDpi xmlns:a14="http://schemas.microsoft.com/office/drawing/2010/main" val="0"/>
                        </a:ext>
                      </a:extLst>
                    </a:blip>
                    <a:stretch>
                      <a:fillRect/>
                    </a:stretch>
                  </pic:blipFill>
                  <pic:spPr>
                    <a:xfrm>
                      <a:off x="0" y="0"/>
                      <a:ext cx="5727700" cy="2145665"/>
                    </a:xfrm>
                    <a:prstGeom prst="rect">
                      <a:avLst/>
                    </a:prstGeom>
                  </pic:spPr>
                </pic:pic>
              </a:graphicData>
            </a:graphic>
          </wp:inline>
        </w:drawing>
      </w:r>
    </w:p>
    <w:p w14:paraId="0E4CCFD2" w14:textId="77777777" w:rsidR="00BF3DAB" w:rsidRPr="00BF3DAB" w:rsidRDefault="00BF3DAB" w:rsidP="00BF3DAB">
      <w:pPr>
        <w:rPr>
          <w:color w:val="000000" w:themeColor="text1"/>
        </w:rPr>
      </w:pPr>
    </w:p>
    <w:p w14:paraId="5C75D636" w14:textId="621CEE0D" w:rsidR="00BF3DAB" w:rsidRPr="00BF3DAB" w:rsidRDefault="00BF3DAB" w:rsidP="00BF3DAB">
      <w:pPr>
        <w:rPr>
          <w:color w:val="000000" w:themeColor="text1"/>
        </w:rPr>
      </w:pPr>
      <w:r w:rsidRPr="00BF3DAB">
        <w:rPr>
          <w:color w:val="000000" w:themeColor="text1"/>
          <w:highlight w:val="yellow"/>
        </w:rPr>
        <w:t>This simple calculation suggests recurrence intervals on individual segments of 4.0–6. 0 ka are common on the central segments but may be less frequent on the Okoroire, Elstow and Te Puninga segments where total throw on the main strands of the segments is smaller.</w:t>
      </w:r>
    </w:p>
    <w:p w14:paraId="33CD740C" w14:textId="77777777" w:rsidR="00BF3DAB" w:rsidRDefault="00BF3DAB" w:rsidP="00BF3DAB"/>
    <w:p w14:paraId="734120E0" w14:textId="76CCF31A" w:rsidR="00E21AFF" w:rsidRPr="00DF2338" w:rsidRDefault="00E21AFF" w:rsidP="00BF3DAB">
      <w:pPr>
        <w:rPr>
          <w:color w:val="C00000"/>
          <w:sz w:val="36"/>
        </w:rPr>
      </w:pPr>
      <w:r w:rsidRPr="00DF2338">
        <w:rPr>
          <w:color w:val="C00000"/>
          <w:sz w:val="36"/>
        </w:rPr>
        <w:t>Peak ground acceleration (PGA)</w:t>
      </w:r>
    </w:p>
    <w:p w14:paraId="3CBE97A9" w14:textId="77777777" w:rsidR="00E21AFF" w:rsidRDefault="00E21AFF" w:rsidP="00BF3DAB">
      <w:pPr>
        <w:rPr>
          <w:color w:val="C00000"/>
        </w:rPr>
      </w:pPr>
    </w:p>
    <w:p w14:paraId="2F971BF1" w14:textId="6907E216" w:rsidR="00E21AFF" w:rsidRDefault="00E21AFF" w:rsidP="00BF3DAB">
      <w:pPr>
        <w:rPr>
          <w:rFonts w:ascii="Helvetica" w:hAnsi="Helvetica" w:cs="Helvetica"/>
        </w:rPr>
      </w:pPr>
      <w:r>
        <w:rPr>
          <w:color w:val="C00000"/>
        </w:rPr>
        <w:t xml:space="preserve">Equation from: </w:t>
      </w:r>
      <w:r>
        <w:rPr>
          <w:rFonts w:ascii="Helvetica" w:hAnsi="Helvetica" w:cs="Helvetica"/>
        </w:rPr>
        <w:t xml:space="preserve">Ministry of Business Innovation and Employment, &amp; New Zealand Geotechnical Society. (2016). </w:t>
      </w:r>
      <w:r>
        <w:rPr>
          <w:rFonts w:ascii="Helvetica" w:hAnsi="Helvetica" w:cs="Helvetica"/>
          <w:i/>
          <w:iCs/>
        </w:rPr>
        <w:t>Earthquake Geotechnical Engineering Practice</w:t>
      </w:r>
      <w:r>
        <w:rPr>
          <w:rFonts w:ascii="Helvetica" w:hAnsi="Helvetica" w:cs="Helvetica"/>
        </w:rPr>
        <w:t>.</w:t>
      </w:r>
    </w:p>
    <w:p w14:paraId="3243EE95" w14:textId="77777777" w:rsidR="00C46E0A" w:rsidRDefault="00C46E0A" w:rsidP="00BF3DAB">
      <w:pPr>
        <w:rPr>
          <w:rFonts w:ascii="Helvetica" w:hAnsi="Helvetica" w:cs="Helvetica"/>
        </w:rPr>
      </w:pPr>
    </w:p>
    <w:p w14:paraId="6E794F0A" w14:textId="77777777" w:rsidR="00E21AFF" w:rsidRDefault="00E21AFF" w:rsidP="00BF3DAB">
      <w:pPr>
        <w:rPr>
          <w:rFonts w:ascii="Helvetica" w:hAnsi="Helvetica" w:cs="Helvetica"/>
        </w:rPr>
      </w:pPr>
    </w:p>
    <w:p w14:paraId="3EDA25CC" w14:textId="48E4A30D" w:rsidR="00E21AFF" w:rsidRDefault="00E21AFF" w:rsidP="00BF3DAB">
      <w:pPr>
        <w:rPr>
          <w:rFonts w:ascii="Helvetica" w:eastAsiaTheme="minorEastAsia" w:hAnsi="Helvetica" w:cs="Helvetica"/>
        </w:rPr>
      </w:pPr>
      <w:r>
        <w:rPr>
          <w:rFonts w:ascii="Helvetica" w:hAnsi="Helvetica" w:cs="Helvetica"/>
        </w:rPr>
        <w:t xml:space="preserve"> </w:t>
      </w:r>
      <m:oMath>
        <m:r>
          <w:rPr>
            <w:rFonts w:ascii="Cambria Math" w:hAnsi="Cambria Math" w:cs="Helvetica"/>
          </w:rPr>
          <m:t>amax=co,1000</m:t>
        </m:r>
        <m:f>
          <m:fPr>
            <m:ctrlPr>
              <w:rPr>
                <w:rFonts w:ascii="Cambria Math" w:hAnsi="Cambria Math" w:cs="Helvetica"/>
                <w:i/>
              </w:rPr>
            </m:ctrlPr>
          </m:fPr>
          <m:num>
            <m:r>
              <w:rPr>
                <w:rFonts w:ascii="Cambria Math" w:hAnsi="Cambria Math" w:cs="Helvetica"/>
              </w:rPr>
              <m:t>r</m:t>
            </m:r>
          </m:num>
          <m:den>
            <m:r>
              <w:rPr>
                <w:rFonts w:ascii="Cambria Math" w:hAnsi="Cambria Math" w:cs="Helvetica"/>
              </w:rPr>
              <m:t>1.3</m:t>
            </m:r>
          </m:den>
        </m:f>
        <m:r>
          <w:rPr>
            <w:rFonts w:ascii="Cambria Math" w:hAnsi="Cambria Math" w:cs="Helvetica"/>
          </w:rPr>
          <m:t>fg</m:t>
        </m:r>
      </m:oMath>
    </w:p>
    <w:p w14:paraId="45918966" w14:textId="77777777" w:rsidR="00877DAA" w:rsidRDefault="00877DAA" w:rsidP="00BF3DAB">
      <w:pPr>
        <w:rPr>
          <w:rFonts w:ascii="Helvetica" w:eastAsiaTheme="minorEastAsia" w:hAnsi="Helvetica" w:cs="Helvetica"/>
        </w:rPr>
      </w:pPr>
    </w:p>
    <w:p w14:paraId="7B50F36E" w14:textId="36C563D6" w:rsidR="00877DAA" w:rsidRDefault="00877DAA" w:rsidP="00BF3DAB">
      <w:pPr>
        <w:rPr>
          <w:rFonts w:ascii="Helvetica" w:eastAsiaTheme="minorEastAsia" w:hAnsi="Helvetica" w:cs="Helvetica"/>
        </w:rPr>
      </w:pPr>
      <w:r>
        <w:rPr>
          <w:rFonts w:ascii="Helvetica" w:eastAsiaTheme="minorEastAsia" w:hAnsi="Helvetica" w:cs="Helvetica"/>
        </w:rPr>
        <w:t>where</w:t>
      </w:r>
    </w:p>
    <w:p w14:paraId="6B97B9F2" w14:textId="77777777" w:rsidR="00877DAA" w:rsidRDefault="00877DAA" w:rsidP="00BF3DAB">
      <w:pPr>
        <w:rPr>
          <w:rFonts w:ascii="Helvetica" w:eastAsiaTheme="minorEastAsia" w:hAnsi="Helvetica" w:cs="Helvetica"/>
        </w:rPr>
      </w:pPr>
    </w:p>
    <w:p w14:paraId="4D93EA60" w14:textId="2301CB48" w:rsidR="00877DAA" w:rsidRPr="0064504E" w:rsidRDefault="00877DAA" w:rsidP="00877DAA">
      <w:pPr>
        <w:pStyle w:val="ListParagraph"/>
        <w:numPr>
          <w:ilvl w:val="0"/>
          <w:numId w:val="1"/>
        </w:numPr>
        <w:rPr>
          <w:highlight w:val="yellow"/>
        </w:rPr>
      </w:pPr>
      <w:r>
        <w:t xml:space="preserve">Co,1000 is the </w:t>
      </w:r>
      <w:r w:rsidRPr="00877DAA">
        <w:t>Unweighted peak ground acceleration</w:t>
      </w:r>
      <w:r>
        <w:t xml:space="preserve"> </w:t>
      </w:r>
      <w:r w:rsidRPr="00877DAA">
        <w:t>coefficient corresponding to a 1000 year return</w:t>
      </w:r>
      <w:r>
        <w:t xml:space="preserve"> </w:t>
      </w:r>
      <w:r w:rsidRPr="00877DAA">
        <w:t>period</w:t>
      </w:r>
      <w:r>
        <w:t xml:space="preserve"> (in our case it is classified on the bases of the field area consisting of shallow soil = 0.2 </w:t>
      </w:r>
      <w:r w:rsidR="0064504E" w:rsidRPr="0064504E">
        <w:rPr>
          <w:highlight w:val="yellow"/>
        </w:rPr>
        <w:t xml:space="preserve">(from </w:t>
      </w:r>
      <w:r w:rsidR="0064504E" w:rsidRPr="0064504E">
        <w:rPr>
          <w:rFonts w:ascii="Helvetica" w:hAnsi="Helvetica" w:cs="Helvetica"/>
          <w:highlight w:val="yellow"/>
        </w:rPr>
        <w:t xml:space="preserve">Ministry of Business Innovation and Employment, &amp; New Zealand Geotechnical Society. (2016). </w:t>
      </w:r>
      <w:r w:rsidR="0064504E" w:rsidRPr="0064504E">
        <w:rPr>
          <w:rFonts w:ascii="Helvetica" w:hAnsi="Helvetica" w:cs="Helvetica"/>
          <w:i/>
          <w:iCs/>
          <w:highlight w:val="yellow"/>
        </w:rPr>
        <w:t>Earthquake Geotechnical Engineering Practice</w:t>
      </w:r>
      <w:r w:rsidR="0064504E" w:rsidRPr="0064504E">
        <w:rPr>
          <w:rFonts w:ascii="Helvetica" w:hAnsi="Helvetica" w:cs="Helvetica"/>
          <w:highlight w:val="yellow"/>
        </w:rPr>
        <w:t>.</w:t>
      </w:r>
    </w:p>
    <w:p w14:paraId="16E05416" w14:textId="77777777" w:rsidR="0064504E" w:rsidRDefault="0064504E" w:rsidP="0064504E"/>
    <w:p w14:paraId="03A5AEAD" w14:textId="0F9C1FE2" w:rsidR="001242E4" w:rsidRPr="001242E4" w:rsidRDefault="00877DAA" w:rsidP="001242E4">
      <w:pPr>
        <w:pStyle w:val="ListParagraph"/>
        <w:numPr>
          <w:ilvl w:val="0"/>
          <w:numId w:val="1"/>
        </w:numPr>
        <w:rPr>
          <w:color w:val="000000" w:themeColor="text1"/>
          <w:highlight w:val="yellow"/>
        </w:rPr>
      </w:pPr>
      <w:r>
        <w:t xml:space="preserve">r is the </w:t>
      </w:r>
      <w:r w:rsidR="002C033F" w:rsidRPr="002C033F">
        <w:t>return period factor</w:t>
      </w:r>
      <w:r w:rsidR="00957B22">
        <w:t>= 1.8 1/2,500 yrs</w:t>
      </w:r>
      <w:r w:rsidR="002C033F">
        <w:t xml:space="preserve"> </w:t>
      </w:r>
      <w:r w:rsidR="002C033F" w:rsidRPr="0064504E">
        <w:rPr>
          <w:color w:val="000000" w:themeColor="text1"/>
          <w:highlight w:val="yellow"/>
        </w:rPr>
        <w:t xml:space="preserve">(from </w:t>
      </w:r>
      <w:r w:rsidR="0064504E" w:rsidRPr="0064504E">
        <w:rPr>
          <w:rFonts w:ascii="Helvetica" w:hAnsi="Helvetica" w:cs="Helvetica"/>
          <w:color w:val="000000" w:themeColor="text1"/>
          <w:highlight w:val="yellow"/>
        </w:rPr>
        <w:t xml:space="preserve">Standards New Zealand. (2004). </w:t>
      </w:r>
      <w:r w:rsidR="0064504E" w:rsidRPr="0064504E">
        <w:rPr>
          <w:rFonts w:ascii="Helvetica" w:hAnsi="Helvetica" w:cs="Helvetica"/>
          <w:i/>
          <w:iCs/>
          <w:color w:val="000000" w:themeColor="text1"/>
          <w:highlight w:val="yellow"/>
        </w:rPr>
        <w:t>Structural Design Actions</w:t>
      </w:r>
      <w:r w:rsidR="0064504E" w:rsidRPr="0064504E">
        <w:rPr>
          <w:rFonts w:ascii="Helvetica" w:hAnsi="Helvetica" w:cs="Helvetica"/>
          <w:color w:val="000000" w:themeColor="text1"/>
          <w:highlight w:val="yellow"/>
        </w:rPr>
        <w:t>)</w:t>
      </w:r>
    </w:p>
    <w:p w14:paraId="6B43D2F3" w14:textId="77777777" w:rsidR="001242E4" w:rsidRPr="001242E4" w:rsidRDefault="001242E4" w:rsidP="001242E4">
      <w:pPr>
        <w:rPr>
          <w:color w:val="000000" w:themeColor="text1"/>
          <w:highlight w:val="yellow"/>
        </w:rPr>
      </w:pPr>
    </w:p>
    <w:p w14:paraId="560CF5AA" w14:textId="669899CD" w:rsidR="001242E4" w:rsidRPr="00116EA7" w:rsidRDefault="001242E4" w:rsidP="00EE4C6F">
      <w:pPr>
        <w:pStyle w:val="ListParagraph"/>
        <w:numPr>
          <w:ilvl w:val="0"/>
          <w:numId w:val="1"/>
        </w:numPr>
        <w:rPr>
          <w:highlight w:val="yellow"/>
        </w:rPr>
      </w:pPr>
      <w:r w:rsidRPr="001242E4">
        <w:rPr>
          <w:color w:val="000000" w:themeColor="text1"/>
        </w:rPr>
        <w:t>f i</w:t>
      </w:r>
      <w:r w:rsidR="00957B22">
        <w:rPr>
          <w:color w:val="000000" w:themeColor="text1"/>
        </w:rPr>
        <w:t>s the site response factor= 1</w:t>
      </w:r>
      <w:r w:rsidR="00EE4C6F">
        <w:rPr>
          <w:color w:val="000000" w:themeColor="text1"/>
        </w:rPr>
        <w:t xml:space="preserve">.33 for shallow soils (class C). </w:t>
      </w:r>
      <w:r>
        <w:rPr>
          <w:color w:val="000000" w:themeColor="text1"/>
          <w:highlight w:val="yellow"/>
        </w:rPr>
        <w:t xml:space="preserve">(from </w:t>
      </w:r>
      <w:r w:rsidRPr="0064504E">
        <w:rPr>
          <w:rFonts w:ascii="Helvetica" w:hAnsi="Helvetica" w:cs="Helvetica"/>
          <w:highlight w:val="yellow"/>
        </w:rPr>
        <w:t xml:space="preserve">Ministry of Business Innovation and Employment, &amp; New Zealand Geotechnical Society. (2016). </w:t>
      </w:r>
      <w:r w:rsidRPr="0064504E">
        <w:rPr>
          <w:rFonts w:ascii="Helvetica" w:hAnsi="Helvetica" w:cs="Helvetica"/>
          <w:i/>
          <w:iCs/>
          <w:highlight w:val="yellow"/>
        </w:rPr>
        <w:t>Earthquake Geotechnical Engineering Practice</w:t>
      </w:r>
      <w:r>
        <w:rPr>
          <w:rFonts w:ascii="Helvetica" w:hAnsi="Helvetica" w:cs="Helvetica"/>
          <w:highlight w:val="yellow"/>
        </w:rPr>
        <w:t xml:space="preserve">.) For shallow soils, class C. </w:t>
      </w:r>
      <w:r w:rsidR="00EE4C6F">
        <w:rPr>
          <w:rFonts w:ascii="Helvetica" w:hAnsi="Helvetica" w:cs="Helvetica"/>
          <w:highlight w:val="yellow"/>
        </w:rPr>
        <w:t xml:space="preserve">Decision was based on data derived from the geotechnical database, the same data that was used for this research. 7 were looked at and all had values over 25 kPa at 20 m depths. </w:t>
      </w:r>
    </w:p>
    <w:p w14:paraId="5B20DB8F" w14:textId="77777777" w:rsidR="00116EA7" w:rsidRDefault="00116EA7" w:rsidP="00116EA7">
      <w:pPr>
        <w:pStyle w:val="ListParagraph"/>
        <w:rPr>
          <w:highlight w:val="yellow"/>
        </w:rPr>
      </w:pPr>
    </w:p>
    <w:p w14:paraId="521E8892" w14:textId="77777777" w:rsidR="00776797" w:rsidRDefault="00776797" w:rsidP="00116EA7">
      <w:pPr>
        <w:pStyle w:val="ListParagraph"/>
        <w:rPr>
          <w:highlight w:val="yellow"/>
        </w:rPr>
      </w:pPr>
    </w:p>
    <w:p w14:paraId="786A1B62" w14:textId="015130C7" w:rsidR="00776797" w:rsidRPr="00116EA7" w:rsidRDefault="00776797" w:rsidP="00116EA7">
      <w:pPr>
        <w:pStyle w:val="ListParagraph"/>
        <w:rPr>
          <w:highlight w:val="yellow"/>
        </w:rPr>
      </w:pPr>
      <w:r>
        <w:rPr>
          <w:noProof/>
          <w:lang w:val="en-NZ" w:eastAsia="zh-CN"/>
        </w:rPr>
        <w:lastRenderedPageBreak/>
        <w:drawing>
          <wp:inline distT="0" distB="0" distL="0" distR="0" wp14:anchorId="22C8EC8E" wp14:editId="10F4392E">
            <wp:extent cx="5187297" cy="65538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t="776"/>
                    <a:stretch/>
                  </pic:blipFill>
                  <pic:spPr bwMode="auto">
                    <a:xfrm>
                      <a:off x="0" y="0"/>
                      <a:ext cx="5189125" cy="6556152"/>
                    </a:xfrm>
                    <a:prstGeom prst="rect">
                      <a:avLst/>
                    </a:prstGeom>
                    <a:ln>
                      <a:noFill/>
                    </a:ln>
                    <a:extLst>
                      <a:ext uri="{53640926-AAD7-44D8-BBD7-CCE9431645EC}">
                        <a14:shadowObscured xmlns:a14="http://schemas.microsoft.com/office/drawing/2010/main"/>
                      </a:ext>
                    </a:extLst>
                  </pic:spPr>
                </pic:pic>
              </a:graphicData>
            </a:graphic>
          </wp:inline>
        </w:drawing>
      </w:r>
    </w:p>
    <w:p w14:paraId="41E7226F" w14:textId="57E1FBA2" w:rsidR="00116EA7" w:rsidRPr="0064504E" w:rsidRDefault="00116EA7" w:rsidP="00116EA7">
      <w:pPr>
        <w:pStyle w:val="ListParagraph"/>
        <w:rPr>
          <w:highlight w:val="yellow"/>
        </w:rPr>
      </w:pPr>
      <w:r>
        <w:rPr>
          <w:noProof/>
          <w:lang w:val="en-NZ" w:eastAsia="zh-CN"/>
        </w:rPr>
        <w:lastRenderedPageBreak/>
        <w:drawing>
          <wp:inline distT="0" distB="0" distL="0" distR="0" wp14:anchorId="137F5490" wp14:editId="7B0E3790">
            <wp:extent cx="5255663" cy="3577384"/>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55663" cy="3577384"/>
                    </a:xfrm>
                    <a:prstGeom prst="rect">
                      <a:avLst/>
                    </a:prstGeom>
                  </pic:spPr>
                </pic:pic>
              </a:graphicData>
            </a:graphic>
          </wp:inline>
        </w:drawing>
      </w:r>
    </w:p>
    <w:p w14:paraId="657BEC83" w14:textId="77777777" w:rsidR="001242E4" w:rsidRDefault="001242E4" w:rsidP="001242E4">
      <w:pPr>
        <w:ind w:left="360"/>
        <w:rPr>
          <w:color w:val="000000" w:themeColor="text1"/>
          <w:highlight w:val="yellow"/>
        </w:rPr>
      </w:pPr>
    </w:p>
    <w:p w14:paraId="5FA0982F" w14:textId="77777777" w:rsidR="001242E4" w:rsidRDefault="001242E4" w:rsidP="001242E4">
      <w:pPr>
        <w:ind w:left="360"/>
        <w:rPr>
          <w:color w:val="000000" w:themeColor="text1"/>
          <w:highlight w:val="yellow"/>
        </w:rPr>
      </w:pPr>
    </w:p>
    <w:p w14:paraId="7DFED223" w14:textId="6A74A782" w:rsidR="00877DAA" w:rsidRDefault="00522E00" w:rsidP="00522E00">
      <w:pPr>
        <w:ind w:left="360"/>
        <w:rPr>
          <w:color w:val="000000" w:themeColor="text1"/>
        </w:rPr>
      </w:pPr>
      <w:r w:rsidRPr="00522E00">
        <w:rPr>
          <w:color w:val="000000" w:themeColor="text1"/>
        </w:rPr>
        <w:t>Therefore</w:t>
      </w:r>
    </w:p>
    <w:p w14:paraId="184B0949" w14:textId="77777777" w:rsidR="00522E00" w:rsidRDefault="00522E00" w:rsidP="00522E00">
      <w:pPr>
        <w:ind w:left="360"/>
        <w:rPr>
          <w:color w:val="000000" w:themeColor="text1"/>
        </w:rPr>
      </w:pPr>
    </w:p>
    <w:p w14:paraId="0581B422" w14:textId="77205F2B" w:rsidR="002911DA" w:rsidRPr="002911DA" w:rsidRDefault="009662DD" w:rsidP="00522E00">
      <w:pPr>
        <w:ind w:left="360"/>
        <w:rPr>
          <w:rFonts w:eastAsiaTheme="minorEastAsia"/>
          <w:color w:val="000000" w:themeColor="text1"/>
        </w:rPr>
      </w:pPr>
      <m:oMathPara>
        <m:oMath>
          <m:r>
            <w:rPr>
              <w:rFonts w:ascii="Cambria Math" w:hAnsi="Cambria Math"/>
              <w:color w:val="000000" w:themeColor="text1"/>
            </w:rPr>
            <m:t>PGA=0.2</m:t>
          </m:r>
          <m:f>
            <m:fPr>
              <m:ctrlPr>
                <w:rPr>
                  <w:rFonts w:ascii="Cambria Math" w:hAnsi="Cambria Math"/>
                  <w:i/>
                  <w:color w:val="000000" w:themeColor="text1"/>
                </w:rPr>
              </m:ctrlPr>
            </m:fPr>
            <m:num>
              <m:r>
                <w:rPr>
                  <w:rFonts w:ascii="Cambria Math" w:hAnsi="Cambria Math"/>
                  <w:color w:val="000000" w:themeColor="text1"/>
                </w:rPr>
                <m:t>1.8</m:t>
              </m:r>
            </m:num>
            <m:den>
              <m:r>
                <w:rPr>
                  <w:rFonts w:ascii="Cambria Math" w:hAnsi="Cambria Math"/>
                  <w:color w:val="000000" w:themeColor="text1"/>
                </w:rPr>
                <m:t>1.3</m:t>
              </m:r>
            </m:den>
          </m:f>
          <m:r>
            <w:rPr>
              <w:rFonts w:ascii="Cambria Math" w:hAnsi="Cambria Math"/>
              <w:color w:val="000000" w:themeColor="text1"/>
            </w:rPr>
            <m:t>1.33</m:t>
          </m:r>
        </m:oMath>
      </m:oMathPara>
    </w:p>
    <w:p w14:paraId="6B9F3A4D" w14:textId="5DF01432" w:rsidR="002911DA" w:rsidRPr="002911DA" w:rsidRDefault="002911DA" w:rsidP="00522E00">
      <w:pPr>
        <w:ind w:left="360"/>
        <w:rPr>
          <w:rFonts w:eastAsiaTheme="minorEastAsia"/>
          <w:color w:val="000000" w:themeColor="text1"/>
        </w:rPr>
      </w:pPr>
    </w:p>
    <w:p w14:paraId="11AFEDF2" w14:textId="29BCE87A" w:rsidR="00522E00" w:rsidRPr="00A72DD6" w:rsidRDefault="00A72A6B" w:rsidP="002911DA">
      <w:pPr>
        <w:rPr>
          <w:i/>
          <w:color w:val="000000" w:themeColor="text1"/>
        </w:rPr>
      </w:pPr>
      <m:oMathPara>
        <m:oMath>
          <m:r>
            <w:rPr>
              <w:rFonts w:ascii="Cambria Math" w:hAnsi="Cambria Math"/>
              <w:color w:val="000000" w:themeColor="text1"/>
            </w:rPr>
            <m:t>=0.37g</m:t>
          </m:r>
        </m:oMath>
      </m:oMathPara>
    </w:p>
    <w:p w14:paraId="2240007E" w14:textId="77777777" w:rsidR="005443B3" w:rsidRDefault="005443B3" w:rsidP="00877DAA"/>
    <w:p w14:paraId="54C995A0" w14:textId="77777777" w:rsidR="005443B3" w:rsidRDefault="005443B3" w:rsidP="005443B3">
      <w:pPr>
        <w:rPr>
          <w:color w:val="C00000"/>
        </w:rPr>
      </w:pPr>
      <w:r>
        <w:rPr>
          <w:color w:val="C00000"/>
        </w:rPr>
        <w:t>Can also be calculated as:</w:t>
      </w:r>
    </w:p>
    <w:p w14:paraId="5DB77DFA" w14:textId="77777777" w:rsidR="001C16C6" w:rsidRDefault="005443B3" w:rsidP="005443B3">
      <w:pPr>
        <w:rPr>
          <w:highlight w:val="yellow"/>
          <w:lang w:val="en-AU"/>
        </w:rPr>
      </w:pPr>
      <w:r>
        <w:rPr>
          <w:color w:val="C00000"/>
        </w:rPr>
        <w:t xml:space="preserve">From </w:t>
      </w:r>
      <w:r w:rsidRPr="00E441C0">
        <w:rPr>
          <w:rFonts w:ascii="Helvetica" w:hAnsi="Helvetica" w:cs="Helvetica"/>
          <w:highlight w:val="yellow"/>
        </w:rPr>
        <w:t xml:space="preserve">New Zealand Geotechnical Society. (2010). </w:t>
      </w:r>
      <w:r w:rsidRPr="00E441C0">
        <w:rPr>
          <w:rFonts w:ascii="Helvetica" w:hAnsi="Helvetica" w:cs="Helvetica"/>
          <w:i/>
          <w:iCs/>
          <w:highlight w:val="yellow"/>
        </w:rPr>
        <w:t xml:space="preserve">Geotechnical earthquake </w:t>
      </w:r>
      <w:r w:rsidRPr="001C16C6">
        <w:rPr>
          <w:rFonts w:ascii="Helvetica" w:hAnsi="Helvetica" w:cs="Helvetica"/>
          <w:i/>
          <w:iCs/>
          <w:highlight w:val="yellow"/>
        </w:rPr>
        <w:t>engineering practice</w:t>
      </w:r>
      <w:r w:rsidRPr="001C16C6">
        <w:rPr>
          <w:rFonts w:ascii="Helvetica" w:hAnsi="Helvetica" w:cs="Helvetica"/>
          <w:highlight w:val="yellow"/>
        </w:rPr>
        <w:t>.</w:t>
      </w:r>
      <w:r w:rsidR="008839F5" w:rsidRPr="001C16C6">
        <w:rPr>
          <w:highlight w:val="yellow"/>
          <w:lang w:val="en-AU"/>
        </w:rPr>
        <w:t xml:space="preserve"> </w:t>
      </w:r>
    </w:p>
    <w:p w14:paraId="4508EA29" w14:textId="7C6E5B0E" w:rsidR="001C16C6" w:rsidRDefault="001C16C6" w:rsidP="005443B3">
      <w:pPr>
        <w:rPr>
          <w:sz w:val="28"/>
          <w:highlight w:val="yellow"/>
          <w:lang w:val="en-AU"/>
        </w:rPr>
      </w:pPr>
      <w:r>
        <w:rPr>
          <w:sz w:val="28"/>
          <w:highlight w:val="yellow"/>
          <w:lang w:val="en-AU"/>
        </w:rPr>
        <w:t>And</w:t>
      </w:r>
    </w:p>
    <w:p w14:paraId="547DF304" w14:textId="020BF81F" w:rsidR="005443B3" w:rsidRDefault="008839F5" w:rsidP="005443B3">
      <w:pPr>
        <w:rPr>
          <w:color w:val="C00000"/>
        </w:rPr>
      </w:pPr>
      <w:r w:rsidRPr="001C16C6">
        <w:rPr>
          <w:sz w:val="28"/>
          <w:highlight w:val="yellow"/>
          <w:lang w:val="en-AU"/>
        </w:rPr>
        <w:t>NZS1170.5:2004 Structural design standard.</w:t>
      </w:r>
    </w:p>
    <w:p w14:paraId="7EE0BCC3" w14:textId="77777777" w:rsidR="005443B3" w:rsidRDefault="005443B3" w:rsidP="005443B3">
      <w:pPr>
        <w:rPr>
          <w:color w:val="C00000"/>
        </w:rPr>
      </w:pPr>
    </w:p>
    <w:p w14:paraId="0EB67CA7" w14:textId="77777777" w:rsidR="005443B3" w:rsidRPr="00616BA5" w:rsidRDefault="005443B3" w:rsidP="005443B3">
      <w:pPr>
        <w:rPr>
          <w:color w:val="000000" w:themeColor="text1"/>
        </w:rPr>
      </w:pPr>
      <m:oMathPara>
        <m:oMath>
          <m:r>
            <w:rPr>
              <w:rFonts w:ascii="Cambria Math" w:hAnsi="Cambria Math"/>
              <w:color w:val="000000" w:themeColor="text1"/>
            </w:rPr>
            <m:t>ah=ZRC</m:t>
          </m:r>
        </m:oMath>
      </m:oMathPara>
    </w:p>
    <w:p w14:paraId="09D8D73B" w14:textId="77777777" w:rsidR="005443B3" w:rsidRDefault="005443B3" w:rsidP="005443B3">
      <w:pPr>
        <w:rPr>
          <w:color w:val="C00000"/>
        </w:rPr>
      </w:pPr>
    </w:p>
    <w:p w14:paraId="5EC5ADA0" w14:textId="77777777" w:rsidR="005443B3" w:rsidRDefault="005443B3" w:rsidP="005443B3">
      <w:pPr>
        <w:rPr>
          <w:color w:val="000000" w:themeColor="text1"/>
        </w:rPr>
      </w:pPr>
      <w:r>
        <w:rPr>
          <w:color w:val="000000" w:themeColor="text1"/>
        </w:rPr>
        <w:t>Z- Hazard factor= 0.16</w:t>
      </w:r>
    </w:p>
    <w:p w14:paraId="60A2BFFE" w14:textId="77777777" w:rsidR="005443B3" w:rsidRDefault="005443B3" w:rsidP="005443B3">
      <w:pPr>
        <w:rPr>
          <w:color w:val="000000" w:themeColor="text1"/>
        </w:rPr>
      </w:pPr>
    </w:p>
    <w:p w14:paraId="5EAC708D" w14:textId="77777777" w:rsidR="005443B3" w:rsidRDefault="005443B3" w:rsidP="005443B3">
      <w:pPr>
        <w:rPr>
          <w:color w:val="000000" w:themeColor="text1"/>
        </w:rPr>
      </w:pPr>
      <w:r>
        <w:rPr>
          <w:color w:val="000000" w:themeColor="text1"/>
        </w:rPr>
        <w:t>R- Return period factor= 1.8 for 1/2500</w:t>
      </w:r>
    </w:p>
    <w:p w14:paraId="1866C60A" w14:textId="77777777" w:rsidR="005443B3" w:rsidRDefault="005443B3" w:rsidP="005443B3">
      <w:pPr>
        <w:rPr>
          <w:color w:val="000000" w:themeColor="text1"/>
        </w:rPr>
      </w:pPr>
    </w:p>
    <w:p w14:paraId="39C827ED" w14:textId="7DB92977" w:rsidR="005443B3" w:rsidRDefault="005443B3" w:rsidP="005443B3">
      <w:pPr>
        <w:rPr>
          <w:color w:val="000000" w:themeColor="text1"/>
        </w:rPr>
      </w:pPr>
      <w:r>
        <w:rPr>
          <w:color w:val="000000" w:themeColor="text1"/>
        </w:rPr>
        <w:t>C- Site response factor= 1.33</w:t>
      </w:r>
      <w:r w:rsidR="004B7B74">
        <w:rPr>
          <w:color w:val="000000" w:themeColor="text1"/>
        </w:rPr>
        <w:t xml:space="preserve"> for</w:t>
      </w:r>
      <w:r w:rsidR="009F4816">
        <w:rPr>
          <w:color w:val="000000" w:themeColor="text1"/>
        </w:rPr>
        <w:t xml:space="preserve"> shallow soils (class C) and 1.12</w:t>
      </w:r>
      <w:r w:rsidR="004B7B74">
        <w:rPr>
          <w:color w:val="000000" w:themeColor="text1"/>
        </w:rPr>
        <w:t xml:space="preserve"> for</w:t>
      </w:r>
      <w:r w:rsidR="0064683C">
        <w:rPr>
          <w:color w:val="000000" w:themeColor="text1"/>
        </w:rPr>
        <w:t xml:space="preserve"> deep soft soils (class D).</w:t>
      </w:r>
      <w:r w:rsidR="004B7B74">
        <w:rPr>
          <w:color w:val="000000" w:themeColor="text1"/>
        </w:rPr>
        <w:t xml:space="preserve"> </w:t>
      </w:r>
    </w:p>
    <w:p w14:paraId="4EB09513" w14:textId="77777777" w:rsidR="005443B3" w:rsidRDefault="005443B3" w:rsidP="005443B3">
      <w:pPr>
        <w:rPr>
          <w:color w:val="000000" w:themeColor="text1"/>
        </w:rPr>
      </w:pPr>
    </w:p>
    <w:p w14:paraId="6753DBE8" w14:textId="77777777" w:rsidR="005443B3" w:rsidRDefault="005443B3" w:rsidP="005443B3">
      <w:pPr>
        <w:rPr>
          <w:color w:val="000000" w:themeColor="text1"/>
        </w:rPr>
      </w:pPr>
      <w:r>
        <w:rPr>
          <w:color w:val="000000" w:themeColor="text1"/>
        </w:rPr>
        <w:t>Therefore:</w:t>
      </w:r>
    </w:p>
    <w:p w14:paraId="1728439A" w14:textId="77777777" w:rsidR="005443B3" w:rsidRDefault="005443B3" w:rsidP="005443B3">
      <w:pPr>
        <w:rPr>
          <w:color w:val="000000" w:themeColor="text1"/>
        </w:rPr>
      </w:pPr>
    </w:p>
    <w:p w14:paraId="7EB62922" w14:textId="77777777" w:rsidR="005443B3" w:rsidRPr="00E441C0" w:rsidRDefault="005443B3" w:rsidP="005443B3">
      <w:pPr>
        <w:rPr>
          <w:rFonts w:eastAsiaTheme="minorEastAsia"/>
          <w:color w:val="000000" w:themeColor="text1"/>
        </w:rPr>
      </w:pPr>
      <m:oMathPara>
        <m:oMath>
          <m:r>
            <w:rPr>
              <w:rFonts w:ascii="Cambria Math" w:hAnsi="Cambria Math"/>
              <w:color w:val="000000" w:themeColor="text1"/>
            </w:rPr>
            <m:t>ah=0.16*1.8*1.33</m:t>
          </m:r>
        </m:oMath>
      </m:oMathPara>
    </w:p>
    <w:p w14:paraId="2D54F46A" w14:textId="77777777" w:rsidR="005443B3" w:rsidRPr="00E441C0" w:rsidRDefault="005443B3" w:rsidP="005443B3">
      <w:pPr>
        <w:rPr>
          <w:rFonts w:eastAsiaTheme="minorEastAsia"/>
          <w:color w:val="000000" w:themeColor="text1"/>
        </w:rPr>
      </w:pPr>
    </w:p>
    <w:p w14:paraId="2F31521D" w14:textId="77777777" w:rsidR="005443B3" w:rsidRPr="00E441C0" w:rsidRDefault="005443B3" w:rsidP="005443B3">
      <w:pPr>
        <w:rPr>
          <w:rFonts w:eastAsiaTheme="minorEastAsia"/>
          <w:color w:val="000000" w:themeColor="text1"/>
        </w:rPr>
      </w:pPr>
      <m:oMathPara>
        <m:oMath>
          <m:r>
            <w:rPr>
              <w:rFonts w:ascii="Cambria Math" w:eastAsiaTheme="minorEastAsia" w:hAnsi="Cambria Math"/>
              <w:color w:val="000000" w:themeColor="text1"/>
            </w:rPr>
            <m:t>=0.38g</m:t>
          </m:r>
        </m:oMath>
      </m:oMathPara>
    </w:p>
    <w:p w14:paraId="1227E094" w14:textId="77777777" w:rsidR="005443B3" w:rsidRPr="00E441C0" w:rsidRDefault="005443B3" w:rsidP="005443B3">
      <w:pPr>
        <w:rPr>
          <w:rFonts w:eastAsiaTheme="minorEastAsia"/>
          <w:color w:val="000000" w:themeColor="text1"/>
        </w:rPr>
      </w:pPr>
    </w:p>
    <w:p w14:paraId="4CFE59D8" w14:textId="77777777" w:rsidR="005443B3" w:rsidRPr="005443B3" w:rsidRDefault="005443B3" w:rsidP="00877DAA">
      <w:pPr>
        <w:rPr>
          <w:b/>
        </w:rPr>
      </w:pPr>
    </w:p>
    <w:tbl>
      <w:tblPr>
        <w:tblStyle w:val="TableGrid"/>
        <w:tblW w:w="0" w:type="auto"/>
        <w:tblLook w:val="04A0" w:firstRow="1" w:lastRow="0" w:firstColumn="1" w:lastColumn="0" w:noHBand="0" w:noVBand="1"/>
      </w:tblPr>
      <w:tblGrid>
        <w:gridCol w:w="2309"/>
        <w:gridCol w:w="2309"/>
        <w:gridCol w:w="2309"/>
        <w:gridCol w:w="2309"/>
      </w:tblGrid>
      <w:tr w:rsidR="00377C67" w14:paraId="72437D05" w14:textId="77777777" w:rsidTr="00377C67">
        <w:tc>
          <w:tcPr>
            <w:tcW w:w="2309" w:type="dxa"/>
          </w:tcPr>
          <w:p w14:paraId="25183B23" w14:textId="3814C690" w:rsidR="00377C67" w:rsidRPr="00484E26" w:rsidRDefault="00377C67" w:rsidP="00BF3DAB">
            <w:pPr>
              <w:rPr>
                <w:color w:val="C00000"/>
              </w:rPr>
            </w:pPr>
            <w:r w:rsidRPr="00377C67">
              <w:rPr>
                <w:color w:val="000000" w:themeColor="text1"/>
              </w:rPr>
              <w:t>Parameters</w:t>
            </w:r>
            <w:r>
              <w:rPr>
                <w:color w:val="000000" w:themeColor="text1"/>
              </w:rPr>
              <w:t>- equation 1</w:t>
            </w:r>
            <w:r w:rsidR="009B778F">
              <w:rPr>
                <w:color w:val="000000" w:themeColor="text1"/>
              </w:rPr>
              <w:t xml:space="preserve">- </w:t>
            </w:r>
          </w:p>
        </w:tc>
        <w:tc>
          <w:tcPr>
            <w:tcW w:w="2309" w:type="dxa"/>
          </w:tcPr>
          <w:p w14:paraId="2DA16863" w14:textId="310CD74F" w:rsidR="00377C67" w:rsidRPr="00377C67" w:rsidRDefault="00377C67" w:rsidP="00BF3DAB">
            <w:pPr>
              <w:rPr>
                <w:color w:val="000000" w:themeColor="text1"/>
              </w:rPr>
            </w:pPr>
            <w:r w:rsidRPr="00377C67">
              <w:rPr>
                <w:color w:val="000000" w:themeColor="text1"/>
              </w:rPr>
              <w:t>SLS</w:t>
            </w:r>
            <w:r>
              <w:rPr>
                <w:color w:val="000000" w:themeColor="text1"/>
              </w:rPr>
              <w:t xml:space="preserve"> (1/25 yrs)</w:t>
            </w:r>
          </w:p>
        </w:tc>
        <w:tc>
          <w:tcPr>
            <w:tcW w:w="2309" w:type="dxa"/>
          </w:tcPr>
          <w:p w14:paraId="242E5A0F" w14:textId="54ACC05F" w:rsidR="00377C67" w:rsidRPr="00377C67" w:rsidRDefault="00377C67" w:rsidP="00BF3DAB">
            <w:pPr>
              <w:rPr>
                <w:color w:val="000000" w:themeColor="text1"/>
              </w:rPr>
            </w:pPr>
            <w:r w:rsidRPr="00377C67">
              <w:rPr>
                <w:color w:val="000000" w:themeColor="text1"/>
              </w:rPr>
              <w:t>ULS</w:t>
            </w:r>
            <w:r>
              <w:rPr>
                <w:color w:val="000000" w:themeColor="text1"/>
              </w:rPr>
              <w:t xml:space="preserve"> (1/500 yrs)</w:t>
            </w:r>
          </w:p>
        </w:tc>
        <w:tc>
          <w:tcPr>
            <w:tcW w:w="2309" w:type="dxa"/>
          </w:tcPr>
          <w:p w14:paraId="2141BEDA" w14:textId="025CF214" w:rsidR="00377C67" w:rsidRPr="00377C67" w:rsidRDefault="00377C67" w:rsidP="00BF3DAB">
            <w:pPr>
              <w:rPr>
                <w:color w:val="000000" w:themeColor="text1"/>
              </w:rPr>
            </w:pPr>
            <w:r w:rsidRPr="00377C67">
              <w:rPr>
                <w:color w:val="000000" w:themeColor="text1"/>
              </w:rPr>
              <w:t>MLS</w:t>
            </w:r>
            <w:r>
              <w:rPr>
                <w:color w:val="000000" w:themeColor="text1"/>
              </w:rPr>
              <w:t xml:space="preserve"> (1/2,500 yrs)</w:t>
            </w:r>
          </w:p>
        </w:tc>
      </w:tr>
      <w:tr w:rsidR="00377C67" w14:paraId="29B5B91D" w14:textId="77777777" w:rsidTr="00377C67">
        <w:tc>
          <w:tcPr>
            <w:tcW w:w="2309" w:type="dxa"/>
          </w:tcPr>
          <w:p w14:paraId="22202221" w14:textId="5E251CA3" w:rsidR="00377C67" w:rsidRPr="00377C67" w:rsidRDefault="00377C67" w:rsidP="00BF3DAB">
            <w:pPr>
              <w:rPr>
                <w:color w:val="000000" w:themeColor="text1"/>
              </w:rPr>
            </w:pPr>
            <w:r w:rsidRPr="00377C67">
              <w:rPr>
                <w:color w:val="000000" w:themeColor="text1"/>
              </w:rPr>
              <w:t>Co,1000</w:t>
            </w:r>
          </w:p>
        </w:tc>
        <w:tc>
          <w:tcPr>
            <w:tcW w:w="2309" w:type="dxa"/>
          </w:tcPr>
          <w:p w14:paraId="45CA0276" w14:textId="5EC6829C" w:rsidR="00377C67" w:rsidRPr="00214250" w:rsidRDefault="0098432E" w:rsidP="00BF3DAB">
            <w:pPr>
              <w:rPr>
                <w:color w:val="000000" w:themeColor="text1"/>
              </w:rPr>
            </w:pPr>
            <w:r>
              <w:rPr>
                <w:color w:val="000000" w:themeColor="text1"/>
              </w:rPr>
              <w:t>0.2</w:t>
            </w:r>
          </w:p>
        </w:tc>
        <w:tc>
          <w:tcPr>
            <w:tcW w:w="2309" w:type="dxa"/>
          </w:tcPr>
          <w:p w14:paraId="71CD44BA" w14:textId="434D8946" w:rsidR="00377C67" w:rsidRPr="00214250" w:rsidRDefault="00637476" w:rsidP="00BF3DAB">
            <w:pPr>
              <w:rPr>
                <w:color w:val="000000" w:themeColor="text1"/>
              </w:rPr>
            </w:pPr>
            <w:r>
              <w:rPr>
                <w:color w:val="000000" w:themeColor="text1"/>
              </w:rPr>
              <w:t>0</w:t>
            </w:r>
            <w:r w:rsidR="0098432E">
              <w:rPr>
                <w:color w:val="000000" w:themeColor="text1"/>
              </w:rPr>
              <w:t>.2</w:t>
            </w:r>
          </w:p>
        </w:tc>
        <w:tc>
          <w:tcPr>
            <w:tcW w:w="2309" w:type="dxa"/>
          </w:tcPr>
          <w:p w14:paraId="6AD287EF" w14:textId="0986596E" w:rsidR="00377C67" w:rsidRPr="00214250" w:rsidRDefault="00637476" w:rsidP="00BF3DAB">
            <w:pPr>
              <w:rPr>
                <w:color w:val="000000" w:themeColor="text1"/>
              </w:rPr>
            </w:pPr>
            <w:r>
              <w:rPr>
                <w:color w:val="000000" w:themeColor="text1"/>
              </w:rPr>
              <w:t>0</w:t>
            </w:r>
            <w:r w:rsidR="0098432E">
              <w:rPr>
                <w:color w:val="000000" w:themeColor="text1"/>
              </w:rPr>
              <w:t>.2</w:t>
            </w:r>
          </w:p>
        </w:tc>
      </w:tr>
      <w:tr w:rsidR="00377C67" w14:paraId="188AD875" w14:textId="77777777" w:rsidTr="00377C67">
        <w:tc>
          <w:tcPr>
            <w:tcW w:w="2309" w:type="dxa"/>
          </w:tcPr>
          <w:p w14:paraId="3B8B468E" w14:textId="1BC192D6" w:rsidR="00377C67" w:rsidRPr="00377C67" w:rsidRDefault="00377C67" w:rsidP="00BF3DAB">
            <w:pPr>
              <w:rPr>
                <w:color w:val="000000" w:themeColor="text1"/>
              </w:rPr>
            </w:pPr>
            <w:r w:rsidRPr="00377C67">
              <w:rPr>
                <w:color w:val="000000" w:themeColor="text1"/>
              </w:rPr>
              <w:t>r</w:t>
            </w:r>
            <w:r w:rsidR="001E0F2E" w:rsidRPr="001E0F2E">
              <w:rPr>
                <w:color w:val="000000" w:themeColor="text1"/>
                <w:sz w:val="18"/>
                <w:szCs w:val="18"/>
              </w:rPr>
              <w:t>u</w:t>
            </w:r>
          </w:p>
        </w:tc>
        <w:tc>
          <w:tcPr>
            <w:tcW w:w="2309" w:type="dxa"/>
          </w:tcPr>
          <w:p w14:paraId="691E9830" w14:textId="383DBC9F" w:rsidR="00377C67" w:rsidRPr="00214250" w:rsidRDefault="00214250" w:rsidP="00BF3DAB">
            <w:pPr>
              <w:rPr>
                <w:color w:val="000000" w:themeColor="text1"/>
              </w:rPr>
            </w:pPr>
            <w:r w:rsidRPr="00214250">
              <w:rPr>
                <w:color w:val="000000" w:themeColor="text1"/>
              </w:rPr>
              <w:t>0.25</w:t>
            </w:r>
          </w:p>
        </w:tc>
        <w:tc>
          <w:tcPr>
            <w:tcW w:w="2309" w:type="dxa"/>
          </w:tcPr>
          <w:p w14:paraId="55C16B23" w14:textId="3379E080" w:rsidR="00377C67" w:rsidRPr="00214250" w:rsidRDefault="00214250" w:rsidP="00BF3DAB">
            <w:pPr>
              <w:rPr>
                <w:color w:val="000000" w:themeColor="text1"/>
              </w:rPr>
            </w:pPr>
            <w:r>
              <w:rPr>
                <w:color w:val="000000" w:themeColor="text1"/>
              </w:rPr>
              <w:t>1.0</w:t>
            </w:r>
          </w:p>
        </w:tc>
        <w:tc>
          <w:tcPr>
            <w:tcW w:w="2309" w:type="dxa"/>
          </w:tcPr>
          <w:p w14:paraId="783807A9" w14:textId="65A665F0" w:rsidR="00377C67" w:rsidRPr="00214250" w:rsidRDefault="00214250" w:rsidP="00BF3DAB">
            <w:pPr>
              <w:rPr>
                <w:color w:val="000000" w:themeColor="text1"/>
              </w:rPr>
            </w:pPr>
            <w:r>
              <w:rPr>
                <w:color w:val="000000" w:themeColor="text1"/>
              </w:rPr>
              <w:t>1.8</w:t>
            </w:r>
          </w:p>
        </w:tc>
      </w:tr>
      <w:tr w:rsidR="00377C67" w14:paraId="0C41CDB2" w14:textId="77777777" w:rsidTr="001C54FA">
        <w:trPr>
          <w:trHeight w:val="185"/>
        </w:trPr>
        <w:tc>
          <w:tcPr>
            <w:tcW w:w="2309" w:type="dxa"/>
          </w:tcPr>
          <w:p w14:paraId="219EAFF0" w14:textId="35968A63" w:rsidR="00377C67" w:rsidRPr="00377C67" w:rsidRDefault="00377C67" w:rsidP="00BF3DAB">
            <w:pPr>
              <w:rPr>
                <w:color w:val="000000" w:themeColor="text1"/>
              </w:rPr>
            </w:pPr>
            <w:r w:rsidRPr="00377C67">
              <w:rPr>
                <w:color w:val="000000" w:themeColor="text1"/>
              </w:rPr>
              <w:t>f</w:t>
            </w:r>
          </w:p>
        </w:tc>
        <w:tc>
          <w:tcPr>
            <w:tcW w:w="2309" w:type="dxa"/>
          </w:tcPr>
          <w:p w14:paraId="5FD03CD6" w14:textId="7B87F38F" w:rsidR="00377C67" w:rsidRPr="00214250" w:rsidRDefault="00A15226" w:rsidP="00BF3DAB">
            <w:pPr>
              <w:rPr>
                <w:color w:val="000000" w:themeColor="text1"/>
              </w:rPr>
            </w:pPr>
            <w:r>
              <w:rPr>
                <w:color w:val="000000" w:themeColor="text1"/>
              </w:rPr>
              <w:t>1</w:t>
            </w:r>
            <w:r w:rsidR="00A95765">
              <w:rPr>
                <w:color w:val="000000" w:themeColor="text1"/>
              </w:rPr>
              <w:t>.33</w:t>
            </w:r>
          </w:p>
        </w:tc>
        <w:tc>
          <w:tcPr>
            <w:tcW w:w="2309" w:type="dxa"/>
          </w:tcPr>
          <w:p w14:paraId="52BAD5DA" w14:textId="2997BB86" w:rsidR="00377C67" w:rsidRPr="00214250" w:rsidRDefault="00A15226" w:rsidP="00BF3DAB">
            <w:pPr>
              <w:rPr>
                <w:color w:val="000000" w:themeColor="text1"/>
              </w:rPr>
            </w:pPr>
            <w:r>
              <w:rPr>
                <w:color w:val="000000" w:themeColor="text1"/>
              </w:rPr>
              <w:t>1</w:t>
            </w:r>
            <w:r w:rsidR="00A95765">
              <w:rPr>
                <w:color w:val="000000" w:themeColor="text1"/>
              </w:rPr>
              <w:t>.33</w:t>
            </w:r>
          </w:p>
        </w:tc>
        <w:tc>
          <w:tcPr>
            <w:tcW w:w="2309" w:type="dxa"/>
          </w:tcPr>
          <w:p w14:paraId="64AAEC8D" w14:textId="16185F91" w:rsidR="001C54FA" w:rsidRPr="00214250" w:rsidRDefault="00A15226" w:rsidP="001C54FA">
            <w:pPr>
              <w:rPr>
                <w:color w:val="000000" w:themeColor="text1"/>
              </w:rPr>
            </w:pPr>
            <w:r>
              <w:rPr>
                <w:color w:val="000000" w:themeColor="text1"/>
              </w:rPr>
              <w:t>1</w:t>
            </w:r>
            <w:r w:rsidR="00A95765">
              <w:rPr>
                <w:color w:val="000000" w:themeColor="text1"/>
              </w:rPr>
              <w:t>.33</w:t>
            </w:r>
          </w:p>
        </w:tc>
      </w:tr>
      <w:tr w:rsidR="00FA52FC" w14:paraId="3637E3ED" w14:textId="77777777" w:rsidTr="001C54FA">
        <w:trPr>
          <w:trHeight w:val="884"/>
        </w:trPr>
        <w:tc>
          <w:tcPr>
            <w:tcW w:w="2309" w:type="dxa"/>
          </w:tcPr>
          <w:p w14:paraId="4016F413" w14:textId="77777777" w:rsidR="001C54FA" w:rsidRPr="001C54FA" w:rsidRDefault="001C54FA" w:rsidP="00B52DFC">
            <w:pPr>
              <w:rPr>
                <w:rFonts w:eastAsiaTheme="minorEastAsia"/>
                <w:color w:val="000000" w:themeColor="text1"/>
              </w:rPr>
            </w:pPr>
          </w:p>
          <w:p w14:paraId="34159CF0" w14:textId="27BAE71C" w:rsidR="00FA52FC" w:rsidRPr="00B52DFC" w:rsidRDefault="00B52DFC" w:rsidP="00B52DFC">
            <w:pPr>
              <w:rPr>
                <w:color w:val="000000" w:themeColor="text1"/>
              </w:rPr>
            </w:pPr>
            <m:oMathPara>
              <m:oMath>
                <m:r>
                  <w:rPr>
                    <w:rFonts w:ascii="Cambria Math" w:hAnsi="Cambria Math"/>
                    <w:color w:val="000000" w:themeColor="text1"/>
                  </w:rPr>
                  <m:t>PGA=C</m:t>
                </m:r>
                <m:r>
                  <m:rPr>
                    <m:nor/>
                  </m:rPr>
                  <w:rPr>
                    <w:rFonts w:ascii="Cambria Math" w:hAnsi="Cambria Math"/>
                    <w:color w:val="000000" w:themeColor="text1"/>
                    <w:sz w:val="16"/>
                    <w:szCs w:val="16"/>
                  </w:rPr>
                  <m:t xml:space="preserve">0,1000  x </m:t>
                </m:r>
                <m:f>
                  <m:fPr>
                    <m:ctrlPr>
                      <w:rPr>
                        <w:rFonts w:ascii="Cambria Math" w:hAnsi="Cambria Math"/>
                        <w:i/>
                        <w:color w:val="000000" w:themeColor="text1"/>
                        <w:sz w:val="16"/>
                        <w:szCs w:val="16"/>
                      </w:rPr>
                    </m:ctrlPr>
                  </m:fPr>
                  <m:num>
                    <m:r>
                      <w:rPr>
                        <w:rFonts w:ascii="Cambria Math" w:hAnsi="Cambria Math"/>
                        <w:color w:val="000000" w:themeColor="text1"/>
                        <w:sz w:val="16"/>
                        <w:szCs w:val="16"/>
                      </w:rPr>
                      <m:t>ru</m:t>
                    </m:r>
                  </m:num>
                  <m:den>
                    <m:r>
                      <w:rPr>
                        <w:rFonts w:ascii="Cambria Math" w:hAnsi="Cambria Math"/>
                        <w:color w:val="000000" w:themeColor="text1"/>
                        <w:sz w:val="16"/>
                        <w:szCs w:val="16"/>
                      </w:rPr>
                      <m:t>1.3</m:t>
                    </m:r>
                  </m:den>
                </m:f>
                <m:r>
                  <w:rPr>
                    <w:rFonts w:ascii="Cambria Math" w:hAnsi="Cambria Math"/>
                    <w:color w:val="000000" w:themeColor="text1"/>
                    <w:sz w:val="16"/>
                    <w:szCs w:val="16"/>
                  </w:rPr>
                  <m:t>x f</m:t>
                </m:r>
              </m:oMath>
            </m:oMathPara>
          </w:p>
        </w:tc>
        <w:tc>
          <w:tcPr>
            <w:tcW w:w="2309" w:type="dxa"/>
          </w:tcPr>
          <w:p w14:paraId="2EB10E07" w14:textId="77777777" w:rsidR="00FA52FC" w:rsidRDefault="00FA52FC" w:rsidP="00BF3DAB">
            <w:pPr>
              <w:rPr>
                <w:color w:val="000000" w:themeColor="text1"/>
              </w:rPr>
            </w:pPr>
          </w:p>
          <w:p w14:paraId="3C32650D" w14:textId="0D096065" w:rsidR="00133241" w:rsidRDefault="00133241" w:rsidP="00BF3DAB">
            <w:pPr>
              <w:rPr>
                <w:color w:val="000000" w:themeColor="text1"/>
              </w:rPr>
            </w:pPr>
            <w:r>
              <w:rPr>
                <w:color w:val="000000" w:themeColor="text1"/>
              </w:rPr>
              <w:t>0.05</w:t>
            </w:r>
            <w:r w:rsidR="003C18DD">
              <w:rPr>
                <w:color w:val="000000" w:themeColor="text1"/>
              </w:rPr>
              <w:t xml:space="preserve"> g</w:t>
            </w:r>
          </w:p>
        </w:tc>
        <w:tc>
          <w:tcPr>
            <w:tcW w:w="2309" w:type="dxa"/>
          </w:tcPr>
          <w:p w14:paraId="50475D0D" w14:textId="77777777" w:rsidR="00FA52FC" w:rsidRDefault="00FA52FC" w:rsidP="00BF3DAB">
            <w:pPr>
              <w:rPr>
                <w:color w:val="000000" w:themeColor="text1"/>
              </w:rPr>
            </w:pPr>
          </w:p>
          <w:p w14:paraId="745B7099" w14:textId="3BC3C441" w:rsidR="00133241" w:rsidRDefault="003C18DD" w:rsidP="00BF3DAB">
            <w:pPr>
              <w:rPr>
                <w:color w:val="000000" w:themeColor="text1"/>
              </w:rPr>
            </w:pPr>
            <w:r>
              <w:rPr>
                <w:color w:val="000000" w:themeColor="text1"/>
              </w:rPr>
              <w:t>0.20 g</w:t>
            </w:r>
          </w:p>
        </w:tc>
        <w:tc>
          <w:tcPr>
            <w:tcW w:w="2309" w:type="dxa"/>
          </w:tcPr>
          <w:p w14:paraId="0FC032D0" w14:textId="77777777" w:rsidR="00FA52FC" w:rsidRDefault="00FA52FC" w:rsidP="00BF3DAB">
            <w:pPr>
              <w:rPr>
                <w:color w:val="000000" w:themeColor="text1"/>
              </w:rPr>
            </w:pPr>
          </w:p>
          <w:p w14:paraId="72FB855B" w14:textId="604CC8FA" w:rsidR="003C18DD" w:rsidRDefault="003C18DD" w:rsidP="00BF3DAB">
            <w:pPr>
              <w:rPr>
                <w:color w:val="000000" w:themeColor="text1"/>
              </w:rPr>
            </w:pPr>
            <w:r>
              <w:rPr>
                <w:color w:val="000000" w:themeColor="text1"/>
              </w:rPr>
              <w:t>0.37 g</w:t>
            </w:r>
          </w:p>
        </w:tc>
      </w:tr>
    </w:tbl>
    <w:p w14:paraId="7F5AF0EF" w14:textId="77777777" w:rsidR="00E21AFF" w:rsidRDefault="00E21AFF" w:rsidP="00BF3DAB">
      <w:pPr>
        <w:rPr>
          <w:color w:val="C00000"/>
        </w:rPr>
      </w:pPr>
    </w:p>
    <w:tbl>
      <w:tblPr>
        <w:tblStyle w:val="TableGrid"/>
        <w:tblW w:w="0" w:type="auto"/>
        <w:tblLook w:val="04A0" w:firstRow="1" w:lastRow="0" w:firstColumn="1" w:lastColumn="0" w:noHBand="0" w:noVBand="1"/>
      </w:tblPr>
      <w:tblGrid>
        <w:gridCol w:w="2309"/>
        <w:gridCol w:w="2309"/>
        <w:gridCol w:w="2309"/>
        <w:gridCol w:w="2309"/>
      </w:tblGrid>
      <w:tr w:rsidR="00FA6F58" w14:paraId="0D3FAFC0" w14:textId="77777777" w:rsidTr="00FA6F58">
        <w:tc>
          <w:tcPr>
            <w:tcW w:w="2309" w:type="dxa"/>
          </w:tcPr>
          <w:p w14:paraId="0E53C58D" w14:textId="71E18C4F" w:rsidR="00FA6F58" w:rsidRPr="00FA6F58" w:rsidRDefault="00FA6F58" w:rsidP="00BF3DAB">
            <w:pPr>
              <w:rPr>
                <w:color w:val="000000" w:themeColor="text1"/>
              </w:rPr>
            </w:pPr>
            <w:r w:rsidRPr="00FA6F58">
              <w:rPr>
                <w:color w:val="000000" w:themeColor="text1"/>
              </w:rPr>
              <w:t>Parameters- equation 2</w:t>
            </w:r>
            <w:r w:rsidR="009B778F">
              <w:rPr>
                <w:color w:val="000000" w:themeColor="text1"/>
              </w:rPr>
              <w:t xml:space="preserve">- </w:t>
            </w:r>
            <w:r w:rsidR="009B778F" w:rsidRPr="009B778F">
              <w:rPr>
                <w:i/>
                <w:iCs/>
                <w:color w:val="000000" w:themeColor="text1"/>
              </w:rPr>
              <w:t>a</w:t>
            </w:r>
            <w:r w:rsidR="009B778F" w:rsidRPr="009B778F">
              <w:rPr>
                <w:i/>
                <w:iCs/>
                <w:color w:val="000000" w:themeColor="text1"/>
                <w:vertAlign w:val="subscript"/>
              </w:rPr>
              <w:t>h</w:t>
            </w:r>
            <w:r w:rsidR="009B778F">
              <w:rPr>
                <w:color w:val="000000" w:themeColor="text1"/>
              </w:rPr>
              <w:t>=</w:t>
            </w:r>
          </w:p>
        </w:tc>
        <w:tc>
          <w:tcPr>
            <w:tcW w:w="2309" w:type="dxa"/>
          </w:tcPr>
          <w:p w14:paraId="3ECE774F" w14:textId="51F14C26" w:rsidR="00FA6F58" w:rsidRPr="00FA6F58" w:rsidRDefault="00FA6F58" w:rsidP="00BF3DAB">
            <w:pPr>
              <w:rPr>
                <w:color w:val="000000" w:themeColor="text1"/>
              </w:rPr>
            </w:pPr>
            <w:r w:rsidRPr="00377C67">
              <w:rPr>
                <w:color w:val="000000" w:themeColor="text1"/>
              </w:rPr>
              <w:t>SLS</w:t>
            </w:r>
            <w:r>
              <w:rPr>
                <w:color w:val="000000" w:themeColor="text1"/>
              </w:rPr>
              <w:t xml:space="preserve"> (1/25 yrs)</w:t>
            </w:r>
          </w:p>
        </w:tc>
        <w:tc>
          <w:tcPr>
            <w:tcW w:w="2309" w:type="dxa"/>
          </w:tcPr>
          <w:p w14:paraId="11C3D750" w14:textId="31032386" w:rsidR="00FA6F58" w:rsidRPr="00FA6F58" w:rsidRDefault="00FA6F58" w:rsidP="00BF3DAB">
            <w:pPr>
              <w:rPr>
                <w:color w:val="000000" w:themeColor="text1"/>
              </w:rPr>
            </w:pPr>
            <w:r w:rsidRPr="00377C67">
              <w:rPr>
                <w:color w:val="000000" w:themeColor="text1"/>
              </w:rPr>
              <w:t>ULS</w:t>
            </w:r>
            <w:r>
              <w:rPr>
                <w:color w:val="000000" w:themeColor="text1"/>
              </w:rPr>
              <w:t xml:space="preserve"> (1/500 yrs)</w:t>
            </w:r>
          </w:p>
        </w:tc>
        <w:tc>
          <w:tcPr>
            <w:tcW w:w="2309" w:type="dxa"/>
          </w:tcPr>
          <w:p w14:paraId="2127C1BA" w14:textId="60769DB9" w:rsidR="00FA6F58" w:rsidRPr="00FA6F58" w:rsidRDefault="00FA6F58" w:rsidP="00BF3DAB">
            <w:pPr>
              <w:rPr>
                <w:color w:val="000000" w:themeColor="text1"/>
              </w:rPr>
            </w:pPr>
            <w:r w:rsidRPr="00377C67">
              <w:rPr>
                <w:color w:val="000000" w:themeColor="text1"/>
              </w:rPr>
              <w:t>MLS</w:t>
            </w:r>
            <w:r>
              <w:rPr>
                <w:color w:val="000000" w:themeColor="text1"/>
              </w:rPr>
              <w:t xml:space="preserve"> (1/2,500 yrs)</w:t>
            </w:r>
          </w:p>
        </w:tc>
      </w:tr>
      <w:tr w:rsidR="00FA6F58" w14:paraId="7929B48F" w14:textId="77777777" w:rsidTr="00FA6F58">
        <w:tc>
          <w:tcPr>
            <w:tcW w:w="2309" w:type="dxa"/>
          </w:tcPr>
          <w:p w14:paraId="5F460E8C" w14:textId="77D216B8" w:rsidR="00FA6F58" w:rsidRPr="00FA6F58" w:rsidRDefault="00AF6080" w:rsidP="00BF3DAB">
            <w:pPr>
              <w:rPr>
                <w:color w:val="000000" w:themeColor="text1"/>
              </w:rPr>
            </w:pPr>
            <w:r>
              <w:rPr>
                <w:color w:val="000000" w:themeColor="text1"/>
              </w:rPr>
              <w:t>Z</w:t>
            </w:r>
          </w:p>
        </w:tc>
        <w:tc>
          <w:tcPr>
            <w:tcW w:w="2309" w:type="dxa"/>
          </w:tcPr>
          <w:p w14:paraId="1DA8FABC" w14:textId="792F8536" w:rsidR="00FA6F58" w:rsidRPr="00FA6F58" w:rsidRDefault="00605EFA" w:rsidP="00BF3DAB">
            <w:pPr>
              <w:rPr>
                <w:color w:val="000000" w:themeColor="text1"/>
              </w:rPr>
            </w:pPr>
            <w:r>
              <w:rPr>
                <w:color w:val="000000" w:themeColor="text1"/>
              </w:rPr>
              <w:t>0.16</w:t>
            </w:r>
          </w:p>
        </w:tc>
        <w:tc>
          <w:tcPr>
            <w:tcW w:w="2309" w:type="dxa"/>
          </w:tcPr>
          <w:p w14:paraId="76A7CB05" w14:textId="2F1672B6" w:rsidR="00FA6F58" w:rsidRPr="00FA6F58" w:rsidRDefault="00605EFA" w:rsidP="00BF3DAB">
            <w:pPr>
              <w:rPr>
                <w:color w:val="000000" w:themeColor="text1"/>
              </w:rPr>
            </w:pPr>
            <w:r>
              <w:rPr>
                <w:color w:val="000000" w:themeColor="text1"/>
              </w:rPr>
              <w:t>0.16</w:t>
            </w:r>
          </w:p>
        </w:tc>
        <w:tc>
          <w:tcPr>
            <w:tcW w:w="2309" w:type="dxa"/>
          </w:tcPr>
          <w:p w14:paraId="1E247F05" w14:textId="0B3B80F8" w:rsidR="00FA6F58" w:rsidRPr="00FA6F58" w:rsidRDefault="00605EFA" w:rsidP="00BF3DAB">
            <w:pPr>
              <w:rPr>
                <w:color w:val="000000" w:themeColor="text1"/>
              </w:rPr>
            </w:pPr>
            <w:r>
              <w:rPr>
                <w:color w:val="000000" w:themeColor="text1"/>
              </w:rPr>
              <w:t>0.16</w:t>
            </w:r>
          </w:p>
        </w:tc>
      </w:tr>
      <w:tr w:rsidR="00FA6F58" w14:paraId="0696C2A5" w14:textId="77777777" w:rsidTr="00FA6F58">
        <w:tc>
          <w:tcPr>
            <w:tcW w:w="2309" w:type="dxa"/>
          </w:tcPr>
          <w:p w14:paraId="5000D8AB" w14:textId="51BE8CD9" w:rsidR="00FA6F58" w:rsidRPr="00FA6F58" w:rsidRDefault="00AF6080" w:rsidP="00BF3DAB">
            <w:pPr>
              <w:rPr>
                <w:color w:val="000000" w:themeColor="text1"/>
              </w:rPr>
            </w:pPr>
            <w:r>
              <w:rPr>
                <w:color w:val="000000" w:themeColor="text1"/>
              </w:rPr>
              <w:t>R</w:t>
            </w:r>
          </w:p>
        </w:tc>
        <w:tc>
          <w:tcPr>
            <w:tcW w:w="2309" w:type="dxa"/>
          </w:tcPr>
          <w:p w14:paraId="4B850897" w14:textId="2D8C0ABC" w:rsidR="00FA6F58" w:rsidRPr="00FA6F58" w:rsidRDefault="00615B48" w:rsidP="00BF3DAB">
            <w:pPr>
              <w:rPr>
                <w:color w:val="000000" w:themeColor="text1"/>
              </w:rPr>
            </w:pPr>
            <w:r>
              <w:rPr>
                <w:color w:val="000000" w:themeColor="text1"/>
              </w:rPr>
              <w:t>0.25</w:t>
            </w:r>
          </w:p>
        </w:tc>
        <w:tc>
          <w:tcPr>
            <w:tcW w:w="2309" w:type="dxa"/>
          </w:tcPr>
          <w:p w14:paraId="49A754FB" w14:textId="708487C4" w:rsidR="00FA6F58" w:rsidRPr="00FA6F58" w:rsidRDefault="00615B48" w:rsidP="00BF3DAB">
            <w:pPr>
              <w:rPr>
                <w:color w:val="000000" w:themeColor="text1"/>
              </w:rPr>
            </w:pPr>
            <w:r>
              <w:rPr>
                <w:color w:val="000000" w:themeColor="text1"/>
              </w:rPr>
              <w:t>1.0</w:t>
            </w:r>
          </w:p>
        </w:tc>
        <w:tc>
          <w:tcPr>
            <w:tcW w:w="2309" w:type="dxa"/>
          </w:tcPr>
          <w:p w14:paraId="33741001" w14:textId="27595042" w:rsidR="00FA6F58" w:rsidRPr="00FA6F58" w:rsidRDefault="00615B48" w:rsidP="00BF3DAB">
            <w:pPr>
              <w:rPr>
                <w:color w:val="000000" w:themeColor="text1"/>
              </w:rPr>
            </w:pPr>
            <w:r>
              <w:rPr>
                <w:color w:val="000000" w:themeColor="text1"/>
              </w:rPr>
              <w:t>1.8</w:t>
            </w:r>
          </w:p>
        </w:tc>
      </w:tr>
      <w:tr w:rsidR="00FA6F58" w14:paraId="3EEB9714" w14:textId="77777777" w:rsidTr="00FA6F58">
        <w:tc>
          <w:tcPr>
            <w:tcW w:w="2309" w:type="dxa"/>
          </w:tcPr>
          <w:p w14:paraId="60B5E3F8" w14:textId="162E525A" w:rsidR="00FA6F58" w:rsidRPr="00FA6F58" w:rsidRDefault="00AF6080" w:rsidP="00BF3DAB">
            <w:pPr>
              <w:rPr>
                <w:color w:val="000000" w:themeColor="text1"/>
              </w:rPr>
            </w:pPr>
            <w:r>
              <w:rPr>
                <w:color w:val="000000" w:themeColor="text1"/>
              </w:rPr>
              <w:t>C</w:t>
            </w:r>
          </w:p>
        </w:tc>
        <w:tc>
          <w:tcPr>
            <w:tcW w:w="2309" w:type="dxa"/>
          </w:tcPr>
          <w:p w14:paraId="3CF78B7E" w14:textId="23430393" w:rsidR="00FA6F58" w:rsidRPr="00FA6F58" w:rsidRDefault="00A15226" w:rsidP="00BF3DAB">
            <w:pPr>
              <w:rPr>
                <w:color w:val="000000" w:themeColor="text1"/>
              </w:rPr>
            </w:pPr>
            <w:r>
              <w:rPr>
                <w:color w:val="000000" w:themeColor="text1"/>
              </w:rPr>
              <w:t>1.33</w:t>
            </w:r>
          </w:p>
        </w:tc>
        <w:tc>
          <w:tcPr>
            <w:tcW w:w="2309" w:type="dxa"/>
          </w:tcPr>
          <w:p w14:paraId="7FAF37E9" w14:textId="730C42A1" w:rsidR="00FA6F58" w:rsidRPr="00FA6F58" w:rsidRDefault="00A15226" w:rsidP="00BF3DAB">
            <w:pPr>
              <w:rPr>
                <w:color w:val="000000" w:themeColor="text1"/>
              </w:rPr>
            </w:pPr>
            <w:r>
              <w:rPr>
                <w:color w:val="000000" w:themeColor="text1"/>
              </w:rPr>
              <w:t>1.33</w:t>
            </w:r>
          </w:p>
        </w:tc>
        <w:tc>
          <w:tcPr>
            <w:tcW w:w="2309" w:type="dxa"/>
          </w:tcPr>
          <w:p w14:paraId="0000EF5E" w14:textId="75CC5543" w:rsidR="00FA6F58" w:rsidRPr="00FA6F58" w:rsidRDefault="00A15226" w:rsidP="00BF3DAB">
            <w:pPr>
              <w:rPr>
                <w:color w:val="000000" w:themeColor="text1"/>
              </w:rPr>
            </w:pPr>
            <w:r>
              <w:rPr>
                <w:color w:val="000000" w:themeColor="text1"/>
              </w:rPr>
              <w:t>1.33</w:t>
            </w:r>
          </w:p>
        </w:tc>
      </w:tr>
      <w:tr w:rsidR="00FA52FC" w14:paraId="0BCA278D" w14:textId="77777777" w:rsidTr="001F5DA6">
        <w:trPr>
          <w:trHeight w:val="1007"/>
        </w:trPr>
        <w:tc>
          <w:tcPr>
            <w:tcW w:w="2309" w:type="dxa"/>
          </w:tcPr>
          <w:p w14:paraId="77EA6342" w14:textId="77777777" w:rsidR="00FA52FC" w:rsidRDefault="00FA52FC" w:rsidP="00BF3DAB">
            <w:pPr>
              <w:rPr>
                <w:b/>
                <w:bCs/>
                <w:color w:val="000000" w:themeColor="text1"/>
              </w:rPr>
            </w:pPr>
          </w:p>
          <w:p w14:paraId="0EA028CD" w14:textId="58DBBB58" w:rsidR="001F5DA6" w:rsidRPr="00FA52FC" w:rsidRDefault="001F5DA6" w:rsidP="001F5DA6">
            <w:pPr>
              <w:rPr>
                <w:b/>
                <w:bCs/>
                <w:color w:val="000000" w:themeColor="text1"/>
              </w:rPr>
            </w:pPr>
            <m:oMathPara>
              <m:oMath>
                <m:r>
                  <w:rPr>
                    <w:rFonts w:ascii="Cambria Math" w:hAnsi="Cambria Math"/>
                    <w:color w:val="000000" w:themeColor="text1"/>
                  </w:rPr>
                  <m:t>ah=Z R C</m:t>
                </m:r>
              </m:oMath>
            </m:oMathPara>
          </w:p>
        </w:tc>
        <w:tc>
          <w:tcPr>
            <w:tcW w:w="2309" w:type="dxa"/>
          </w:tcPr>
          <w:p w14:paraId="00AEFB0F" w14:textId="77777777" w:rsidR="00FA52FC" w:rsidRDefault="00FA52FC" w:rsidP="00BF3DAB">
            <w:pPr>
              <w:rPr>
                <w:color w:val="000000" w:themeColor="text1"/>
              </w:rPr>
            </w:pPr>
          </w:p>
          <w:p w14:paraId="3149F406" w14:textId="7B591D81" w:rsidR="001F5DA6" w:rsidRDefault="00694543" w:rsidP="00BF3DAB">
            <w:pPr>
              <w:rPr>
                <w:color w:val="000000" w:themeColor="text1"/>
              </w:rPr>
            </w:pPr>
            <w:r>
              <w:rPr>
                <w:color w:val="000000" w:themeColor="text1"/>
              </w:rPr>
              <w:t>0.05</w:t>
            </w:r>
            <w:r w:rsidR="003709E0">
              <w:rPr>
                <w:color w:val="000000" w:themeColor="text1"/>
              </w:rPr>
              <w:t xml:space="preserve"> g</w:t>
            </w:r>
          </w:p>
        </w:tc>
        <w:tc>
          <w:tcPr>
            <w:tcW w:w="2309" w:type="dxa"/>
          </w:tcPr>
          <w:p w14:paraId="0E906EB6" w14:textId="77777777" w:rsidR="00FA52FC" w:rsidRDefault="00FA52FC" w:rsidP="00BF3DAB">
            <w:pPr>
              <w:rPr>
                <w:color w:val="000000" w:themeColor="text1"/>
              </w:rPr>
            </w:pPr>
          </w:p>
          <w:p w14:paraId="7D2362D1" w14:textId="24CDE2CA" w:rsidR="00694543" w:rsidRDefault="00694543" w:rsidP="00BF3DAB">
            <w:pPr>
              <w:rPr>
                <w:color w:val="000000" w:themeColor="text1"/>
              </w:rPr>
            </w:pPr>
            <w:r>
              <w:rPr>
                <w:color w:val="000000" w:themeColor="text1"/>
              </w:rPr>
              <w:t>0.29</w:t>
            </w:r>
            <w:r w:rsidR="003709E0">
              <w:rPr>
                <w:color w:val="000000" w:themeColor="text1"/>
              </w:rPr>
              <w:t xml:space="preserve"> g</w:t>
            </w:r>
          </w:p>
        </w:tc>
        <w:tc>
          <w:tcPr>
            <w:tcW w:w="2309" w:type="dxa"/>
          </w:tcPr>
          <w:p w14:paraId="08782033" w14:textId="77777777" w:rsidR="00FA52FC" w:rsidRDefault="00FA52FC" w:rsidP="00BF3DAB">
            <w:pPr>
              <w:rPr>
                <w:color w:val="000000" w:themeColor="text1"/>
              </w:rPr>
            </w:pPr>
          </w:p>
          <w:p w14:paraId="5192E78F" w14:textId="09821BB4" w:rsidR="00694543" w:rsidRDefault="00694543" w:rsidP="00BF3DAB">
            <w:pPr>
              <w:rPr>
                <w:color w:val="000000" w:themeColor="text1"/>
              </w:rPr>
            </w:pPr>
            <w:r>
              <w:rPr>
                <w:color w:val="000000" w:themeColor="text1"/>
              </w:rPr>
              <w:t>0.38</w:t>
            </w:r>
            <w:r w:rsidR="003709E0">
              <w:rPr>
                <w:color w:val="000000" w:themeColor="text1"/>
              </w:rPr>
              <w:t xml:space="preserve"> g</w:t>
            </w:r>
          </w:p>
        </w:tc>
      </w:tr>
    </w:tbl>
    <w:p w14:paraId="410169CD" w14:textId="77777777" w:rsidR="00FA6F58" w:rsidRDefault="00FA6F58" w:rsidP="00BF3DAB">
      <w:pPr>
        <w:rPr>
          <w:color w:val="C00000"/>
        </w:rPr>
      </w:pPr>
    </w:p>
    <w:p w14:paraId="24973759" w14:textId="77777777" w:rsidR="00E21AFF" w:rsidRPr="00E21AFF" w:rsidRDefault="00E21AFF" w:rsidP="00BF3DAB">
      <w:pPr>
        <w:rPr>
          <w:color w:val="C00000"/>
        </w:rPr>
      </w:pPr>
    </w:p>
    <w:sectPr w:rsidR="00E21AFF" w:rsidRPr="00E21AFF" w:rsidSect="00C5148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DengXian">
    <w:altName w:val="等线"/>
    <w:panose1 w:val="02010600030101010101"/>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3C6F32"/>
    <w:multiLevelType w:val="hybridMultilevel"/>
    <w:tmpl w:val="611C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29F"/>
    <w:rsid w:val="00001042"/>
    <w:rsid w:val="00023B40"/>
    <w:rsid w:val="000D4F3E"/>
    <w:rsid w:val="000E459B"/>
    <w:rsid w:val="00116EA7"/>
    <w:rsid w:val="001242E4"/>
    <w:rsid w:val="00133241"/>
    <w:rsid w:val="0018418D"/>
    <w:rsid w:val="001871A0"/>
    <w:rsid w:val="001871D9"/>
    <w:rsid w:val="001C16C6"/>
    <w:rsid w:val="001C54FA"/>
    <w:rsid w:val="001E0F2E"/>
    <w:rsid w:val="001F1BB4"/>
    <w:rsid w:val="001F5DA6"/>
    <w:rsid w:val="0020529F"/>
    <w:rsid w:val="00214250"/>
    <w:rsid w:val="00282F04"/>
    <w:rsid w:val="00290602"/>
    <w:rsid w:val="002911DA"/>
    <w:rsid w:val="002B007B"/>
    <w:rsid w:val="002C033F"/>
    <w:rsid w:val="00302075"/>
    <w:rsid w:val="00307DCE"/>
    <w:rsid w:val="00337009"/>
    <w:rsid w:val="003709E0"/>
    <w:rsid w:val="00377C67"/>
    <w:rsid w:val="003975C9"/>
    <w:rsid w:val="003C18DD"/>
    <w:rsid w:val="00484E26"/>
    <w:rsid w:val="004B7B74"/>
    <w:rsid w:val="004C3AC1"/>
    <w:rsid w:val="004C73FA"/>
    <w:rsid w:val="0050106B"/>
    <w:rsid w:val="00522E00"/>
    <w:rsid w:val="005443B3"/>
    <w:rsid w:val="00605EFA"/>
    <w:rsid w:val="00615B48"/>
    <w:rsid w:val="0062321F"/>
    <w:rsid w:val="00637476"/>
    <w:rsid w:val="0064504E"/>
    <w:rsid w:val="0064683C"/>
    <w:rsid w:val="00694543"/>
    <w:rsid w:val="006C3AF3"/>
    <w:rsid w:val="006D0BF6"/>
    <w:rsid w:val="006F293C"/>
    <w:rsid w:val="007242B7"/>
    <w:rsid w:val="00736B52"/>
    <w:rsid w:val="00776797"/>
    <w:rsid w:val="007F10FF"/>
    <w:rsid w:val="007F3E19"/>
    <w:rsid w:val="00814341"/>
    <w:rsid w:val="008602FC"/>
    <w:rsid w:val="00877DAA"/>
    <w:rsid w:val="00880E65"/>
    <w:rsid w:val="008839F5"/>
    <w:rsid w:val="008D06C0"/>
    <w:rsid w:val="00935C5C"/>
    <w:rsid w:val="00957B22"/>
    <w:rsid w:val="009662DD"/>
    <w:rsid w:val="0098432E"/>
    <w:rsid w:val="00984331"/>
    <w:rsid w:val="00997920"/>
    <w:rsid w:val="009B778F"/>
    <w:rsid w:val="009F4816"/>
    <w:rsid w:val="00A15226"/>
    <w:rsid w:val="00A6004D"/>
    <w:rsid w:val="00A71610"/>
    <w:rsid w:val="00A72A6B"/>
    <w:rsid w:val="00A72DD6"/>
    <w:rsid w:val="00A95765"/>
    <w:rsid w:val="00AF6080"/>
    <w:rsid w:val="00B52DFC"/>
    <w:rsid w:val="00B74388"/>
    <w:rsid w:val="00BF2577"/>
    <w:rsid w:val="00BF3DAB"/>
    <w:rsid w:val="00BF6CD9"/>
    <w:rsid w:val="00C1157E"/>
    <w:rsid w:val="00C432C2"/>
    <w:rsid w:val="00C46E0A"/>
    <w:rsid w:val="00C51486"/>
    <w:rsid w:val="00D23835"/>
    <w:rsid w:val="00D303A6"/>
    <w:rsid w:val="00D32463"/>
    <w:rsid w:val="00D6099D"/>
    <w:rsid w:val="00D77CBB"/>
    <w:rsid w:val="00DB4A5C"/>
    <w:rsid w:val="00DF2338"/>
    <w:rsid w:val="00E21AFF"/>
    <w:rsid w:val="00EA0900"/>
    <w:rsid w:val="00EE4C6F"/>
    <w:rsid w:val="00F61338"/>
    <w:rsid w:val="00F864DD"/>
    <w:rsid w:val="00FA52FC"/>
    <w:rsid w:val="00FA6F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43DC3"/>
  <w14:defaultImageDpi w14:val="32767"/>
  <w15:docId w15:val="{A9C0EA1E-AB62-4CC5-AE8B-0AC94DBE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09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23835"/>
    <w:rPr>
      <w:color w:val="0563C1" w:themeColor="hyperlink"/>
      <w:u w:val="single"/>
    </w:rPr>
  </w:style>
  <w:style w:type="character" w:customStyle="1" w:styleId="apple-converted-space">
    <w:name w:val="apple-converted-space"/>
    <w:basedOn w:val="DefaultParagraphFont"/>
    <w:rsid w:val="00307DCE"/>
  </w:style>
  <w:style w:type="character" w:styleId="FollowedHyperlink">
    <w:name w:val="FollowedHyperlink"/>
    <w:basedOn w:val="DefaultParagraphFont"/>
    <w:uiPriority w:val="99"/>
    <w:semiHidden/>
    <w:unhideWhenUsed/>
    <w:rsid w:val="00D77CBB"/>
    <w:rPr>
      <w:color w:val="954F72" w:themeColor="followedHyperlink"/>
      <w:u w:val="single"/>
    </w:rPr>
  </w:style>
  <w:style w:type="character" w:styleId="PlaceholderText">
    <w:name w:val="Placeholder Text"/>
    <w:basedOn w:val="DefaultParagraphFont"/>
    <w:uiPriority w:val="99"/>
    <w:semiHidden/>
    <w:rsid w:val="00E21AFF"/>
    <w:rPr>
      <w:color w:val="808080"/>
    </w:rPr>
  </w:style>
  <w:style w:type="paragraph" w:styleId="ListParagraph">
    <w:name w:val="List Paragraph"/>
    <w:basedOn w:val="Normal"/>
    <w:uiPriority w:val="34"/>
    <w:qFormat/>
    <w:rsid w:val="00877DAA"/>
    <w:pPr>
      <w:ind w:left="720"/>
      <w:contextualSpacing/>
    </w:pPr>
  </w:style>
  <w:style w:type="paragraph" w:styleId="BalloonText">
    <w:name w:val="Balloon Text"/>
    <w:basedOn w:val="Normal"/>
    <w:link w:val="BalloonTextChar"/>
    <w:uiPriority w:val="99"/>
    <w:semiHidden/>
    <w:unhideWhenUsed/>
    <w:rsid w:val="00377C67"/>
    <w:rPr>
      <w:rFonts w:ascii="Tahoma" w:hAnsi="Tahoma" w:cs="Tahoma"/>
      <w:sz w:val="16"/>
      <w:szCs w:val="16"/>
    </w:rPr>
  </w:style>
  <w:style w:type="character" w:customStyle="1" w:styleId="BalloonTextChar">
    <w:name w:val="Balloon Text Char"/>
    <w:basedOn w:val="DefaultParagraphFont"/>
    <w:link w:val="BalloonText"/>
    <w:uiPriority w:val="99"/>
    <w:semiHidden/>
    <w:rsid w:val="00377C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3220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s://www.boprc.govt.nz/media/160681/earthquake_hazards_of_the_bay_of_plenty_region_-_update_to_1999.pd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5</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University of Waikato</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McKay, Aleesha</dc:creator>
  <cp:lastModifiedBy>McKay, Aleesha</cp:lastModifiedBy>
  <cp:revision>29</cp:revision>
  <dcterms:created xsi:type="dcterms:W3CDTF">2017-05-17T01:49:00Z</dcterms:created>
  <dcterms:modified xsi:type="dcterms:W3CDTF">2017-09-13T23:25:00Z</dcterms:modified>
</cp:coreProperties>
</file>